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39790" w14:textId="57C43DB5" w:rsidR="00E64288" w:rsidRPr="000D162A" w:rsidRDefault="000D162A" w:rsidP="00E64288">
      <w:pPr>
        <w:rPr>
          <w:rFonts w:cs="Tahoma"/>
          <w:b/>
          <w:lang w:val="fr-FR"/>
        </w:rPr>
      </w:pPr>
      <w:r w:rsidRPr="000D162A">
        <w:rPr>
          <w:rFonts w:cs="Tahoma"/>
          <w:b/>
          <w:highlight w:val="yellow"/>
          <w:lang w:val="fr-FR"/>
        </w:rPr>
        <w:t>DRAFT</w:t>
      </w:r>
      <w:bookmarkStart w:id="0" w:name="_GoBack"/>
      <w:bookmarkEnd w:id="0"/>
    </w:p>
    <w:p w14:paraId="33BA1F7E" w14:textId="77777777" w:rsidR="00E64288" w:rsidRPr="000D162A" w:rsidRDefault="00E64288" w:rsidP="00E64288">
      <w:pPr>
        <w:rPr>
          <w:rFonts w:cs="Tahoma"/>
          <w:lang w:val="fr-FR"/>
        </w:rPr>
      </w:pPr>
    </w:p>
    <w:p w14:paraId="0656F6C0" w14:textId="77777777" w:rsidR="00E64288" w:rsidRPr="000D162A" w:rsidRDefault="00E64288" w:rsidP="00E64288">
      <w:pPr>
        <w:rPr>
          <w:rFonts w:cs="Tahoma"/>
          <w:lang w:val="fr-FR"/>
        </w:rPr>
      </w:pPr>
    </w:p>
    <w:p w14:paraId="5144CC49" w14:textId="77777777" w:rsidR="00E64288" w:rsidRPr="000D162A" w:rsidRDefault="00E64288" w:rsidP="00E64288">
      <w:pPr>
        <w:rPr>
          <w:rFonts w:cs="Tahoma"/>
          <w:lang w:val="fr-FR"/>
        </w:rPr>
      </w:pPr>
      <w:r w:rsidRPr="000D162A">
        <w:rPr>
          <w:rStyle w:val="Strong"/>
          <w:rFonts w:cs="Tahoma"/>
          <w:b w:val="0"/>
          <w:lang w:val="fr-FR"/>
        </w:rPr>
        <w:t>Information Documents</w:t>
      </w:r>
    </w:p>
    <w:p w14:paraId="575DF09F" w14:textId="1D412E06" w:rsidR="00E64288" w:rsidRPr="000D162A" w:rsidRDefault="0015348A" w:rsidP="00E64288">
      <w:pPr>
        <w:rPr>
          <w:rStyle w:val="Strong"/>
          <w:rFonts w:cs="Tahoma"/>
          <w:b w:val="0"/>
          <w:lang w:val="fr-FR"/>
        </w:rPr>
      </w:pPr>
      <w:r w:rsidRPr="000D162A">
        <w:rPr>
          <w:rFonts w:cs="Tahoma"/>
          <w:lang w:val="fr-FR"/>
        </w:rPr>
        <w:t>SG/</w:t>
      </w:r>
      <w:proofErr w:type="spellStart"/>
      <w:proofErr w:type="gramStart"/>
      <w:r w:rsidRPr="000D162A">
        <w:rPr>
          <w:rFonts w:cs="Tahoma"/>
          <w:lang w:val="fr-FR"/>
        </w:rPr>
        <w:t>Inf</w:t>
      </w:r>
      <w:proofErr w:type="spellEnd"/>
      <w:r w:rsidR="005F1697" w:rsidRPr="000D162A">
        <w:rPr>
          <w:rFonts w:cs="Tahoma"/>
          <w:lang w:val="fr-FR"/>
        </w:rPr>
        <w:t>(</w:t>
      </w:r>
      <w:proofErr w:type="gramEnd"/>
      <w:r w:rsidR="005F1697" w:rsidRPr="000D162A">
        <w:rPr>
          <w:rFonts w:cs="Tahoma"/>
          <w:lang w:val="fr-FR"/>
        </w:rPr>
        <w:t>2020)10</w:t>
      </w:r>
    </w:p>
    <w:p w14:paraId="49E4F760" w14:textId="77777777" w:rsidR="00E64288" w:rsidRPr="000D162A" w:rsidRDefault="00E64288" w:rsidP="00E64288">
      <w:pPr>
        <w:jc w:val="both"/>
        <w:rPr>
          <w:rFonts w:cs="Tahoma"/>
          <w:lang w:val="fr-FR"/>
        </w:rPr>
      </w:pPr>
    </w:p>
    <w:p w14:paraId="6FF30220" w14:textId="77777777" w:rsidR="00E64288" w:rsidRPr="000D162A" w:rsidRDefault="00E64288" w:rsidP="00E64288">
      <w:pPr>
        <w:jc w:val="both"/>
        <w:rPr>
          <w:rFonts w:cs="Tahoma"/>
          <w:b/>
          <w:lang w:val="fr-FR"/>
        </w:rPr>
      </w:pPr>
    </w:p>
    <w:p w14:paraId="58A5872D" w14:textId="77777777" w:rsidR="00E64288" w:rsidRPr="000D162A" w:rsidRDefault="00E64288" w:rsidP="00E64288">
      <w:pPr>
        <w:rPr>
          <w:rFonts w:cs="Tahoma"/>
          <w:lang w:val="fr-FR"/>
        </w:rPr>
      </w:pPr>
    </w:p>
    <w:p w14:paraId="613FA56F" w14:textId="77777777" w:rsidR="00E64288" w:rsidRPr="00FA7FE1" w:rsidRDefault="00C80A94" w:rsidP="00E64288">
      <w:pPr>
        <w:jc w:val="right"/>
        <w:rPr>
          <w:rFonts w:cs="Tahoma"/>
          <w:lang w:val="en-GB"/>
        </w:rPr>
      </w:pPr>
      <w:r w:rsidRPr="00FA7FE1">
        <w:rPr>
          <w:rFonts w:cs="Tahoma"/>
          <w:highlight w:val="yellow"/>
          <w:lang w:val="en-GB"/>
        </w:rPr>
        <w:t>..</w:t>
      </w:r>
      <w:r w:rsidR="00C9670E" w:rsidRPr="00FA7FE1">
        <w:rPr>
          <w:rFonts w:cs="Tahoma"/>
          <w:highlight w:val="yellow"/>
          <w:lang w:val="en-GB"/>
        </w:rPr>
        <w:t xml:space="preserve"> </w:t>
      </w:r>
      <w:r w:rsidRPr="00FA7FE1">
        <w:rPr>
          <w:rFonts w:cs="Tahoma"/>
          <w:highlight w:val="yellow"/>
          <w:lang w:val="en-GB"/>
        </w:rPr>
        <w:t>March</w:t>
      </w:r>
      <w:r w:rsidR="00C9670E" w:rsidRPr="00FA7FE1">
        <w:rPr>
          <w:rFonts w:cs="Tahoma"/>
          <w:highlight w:val="yellow"/>
          <w:lang w:val="en-GB"/>
        </w:rPr>
        <w:t xml:space="preserve"> 20</w:t>
      </w:r>
      <w:r w:rsidRPr="00FA7FE1">
        <w:rPr>
          <w:rFonts w:cs="Tahoma"/>
          <w:highlight w:val="yellow"/>
          <w:lang w:val="en-GB"/>
        </w:rPr>
        <w:t>20</w:t>
      </w:r>
      <w:r w:rsidR="00D66693" w:rsidRPr="00FA7FE1">
        <w:rPr>
          <w:rStyle w:val="FootnoteReference"/>
          <w:rFonts w:cs="Tahoma"/>
          <w:highlight w:val="yellow"/>
          <w:lang w:val="en-GB"/>
        </w:rPr>
        <w:footnoteReference w:id="1"/>
      </w:r>
    </w:p>
    <w:p w14:paraId="61BA763A" w14:textId="77777777" w:rsidR="009E2055" w:rsidRPr="00FA7FE1" w:rsidRDefault="009E2055" w:rsidP="00E64288">
      <w:pPr>
        <w:jc w:val="right"/>
        <w:rPr>
          <w:rFonts w:cs="Tahoma"/>
          <w:sz w:val="26"/>
          <w:szCs w:val="26"/>
          <w:lang w:val="en-GB"/>
        </w:rPr>
      </w:pPr>
    </w:p>
    <w:p w14:paraId="49568648" w14:textId="77777777" w:rsidR="00E64288" w:rsidRPr="00FA7FE1" w:rsidRDefault="00E64288" w:rsidP="00E64288">
      <w:pPr>
        <w:rPr>
          <w:rFonts w:cs="Tahoma"/>
          <w:sz w:val="26"/>
          <w:szCs w:val="26"/>
          <w:lang w:val="en-GB"/>
        </w:rPr>
      </w:pPr>
      <w:r w:rsidRPr="00FA7FE1">
        <w:rPr>
          <w:rFonts w:cs="Tahoma"/>
          <w:sz w:val="26"/>
          <w:szCs w:val="26"/>
          <w:lang w:val="en-GB"/>
        </w:rPr>
        <w:t>————————————</w:t>
      </w:r>
      <w:r w:rsidRPr="00FA7FE1">
        <w:rPr>
          <w:rFonts w:cs="Tahoma"/>
          <w:sz w:val="26"/>
          <w:szCs w:val="26"/>
          <w:lang w:val="en-GB"/>
        </w:rPr>
        <w:br/>
      </w:r>
    </w:p>
    <w:p w14:paraId="176A51A0" w14:textId="77777777" w:rsidR="00E64288" w:rsidRPr="00FA7FE1" w:rsidRDefault="00E64288" w:rsidP="00E64288">
      <w:pPr>
        <w:jc w:val="both"/>
        <w:rPr>
          <w:rFonts w:cs="Tahoma"/>
          <w:b/>
          <w:sz w:val="26"/>
          <w:szCs w:val="26"/>
          <w:lang w:val="en-GB"/>
        </w:rPr>
      </w:pPr>
      <w:r w:rsidRPr="00FA7FE1">
        <w:rPr>
          <w:rFonts w:cs="Tahoma"/>
          <w:b/>
          <w:bCs/>
          <w:sz w:val="26"/>
          <w:szCs w:val="26"/>
          <w:lang w:val="en-GB"/>
        </w:rPr>
        <w:t>Consolidated report on the conflict in Georgia</w:t>
      </w:r>
    </w:p>
    <w:p w14:paraId="64CA15F4" w14:textId="77777777" w:rsidR="00E64288" w:rsidRPr="00FA7FE1" w:rsidRDefault="00E64288" w:rsidP="00E64288">
      <w:pPr>
        <w:rPr>
          <w:rFonts w:cs="Tahoma"/>
          <w:sz w:val="26"/>
          <w:szCs w:val="26"/>
          <w:lang w:val="en-GB"/>
        </w:rPr>
      </w:pPr>
      <w:r w:rsidRPr="00FA7FE1">
        <w:rPr>
          <w:rFonts w:cs="Tahoma"/>
          <w:bCs/>
          <w:sz w:val="26"/>
          <w:szCs w:val="26"/>
          <w:lang w:val="en-GB"/>
        </w:rPr>
        <w:t>(</w:t>
      </w:r>
      <w:r w:rsidR="00C80A94" w:rsidRPr="00FA7FE1">
        <w:rPr>
          <w:rFonts w:cs="Tahoma"/>
          <w:bCs/>
          <w:sz w:val="26"/>
          <w:szCs w:val="26"/>
          <w:lang w:val="en-GB"/>
        </w:rPr>
        <w:t>October</w:t>
      </w:r>
      <w:r w:rsidR="00122995" w:rsidRPr="00FA7FE1">
        <w:rPr>
          <w:rFonts w:cs="Tahoma"/>
          <w:bCs/>
          <w:sz w:val="26"/>
          <w:szCs w:val="26"/>
          <w:lang w:val="en-GB"/>
        </w:rPr>
        <w:t xml:space="preserve"> 201</w:t>
      </w:r>
      <w:r w:rsidR="00C80A94" w:rsidRPr="00FA7FE1">
        <w:rPr>
          <w:rFonts w:cs="Tahoma"/>
          <w:bCs/>
          <w:sz w:val="26"/>
          <w:szCs w:val="26"/>
          <w:lang w:val="en-GB"/>
        </w:rPr>
        <w:t>9</w:t>
      </w:r>
      <w:r w:rsidR="00D619DC" w:rsidRPr="00FA7FE1">
        <w:rPr>
          <w:rFonts w:cs="Tahoma"/>
          <w:bCs/>
          <w:sz w:val="26"/>
          <w:szCs w:val="26"/>
          <w:lang w:val="en-GB"/>
        </w:rPr>
        <w:t xml:space="preserve"> </w:t>
      </w:r>
      <w:r w:rsidR="004D0EAC" w:rsidRPr="00FA7FE1">
        <w:rPr>
          <w:rFonts w:cs="Tahoma"/>
          <w:bCs/>
          <w:sz w:val="26"/>
          <w:szCs w:val="26"/>
          <w:lang w:val="en-GB"/>
        </w:rPr>
        <w:t xml:space="preserve">– </w:t>
      </w:r>
      <w:r w:rsidR="00C80A94" w:rsidRPr="00FA7FE1">
        <w:rPr>
          <w:rFonts w:cs="Tahoma"/>
          <w:bCs/>
          <w:sz w:val="26"/>
          <w:szCs w:val="26"/>
          <w:lang w:val="en-GB"/>
        </w:rPr>
        <w:t>March</w:t>
      </w:r>
      <w:r w:rsidR="00122995" w:rsidRPr="00FA7FE1">
        <w:rPr>
          <w:rFonts w:cs="Tahoma"/>
          <w:bCs/>
          <w:sz w:val="26"/>
          <w:szCs w:val="26"/>
          <w:lang w:val="en-GB"/>
        </w:rPr>
        <w:t xml:space="preserve"> 20</w:t>
      </w:r>
      <w:r w:rsidR="00C80A94" w:rsidRPr="00FA7FE1">
        <w:rPr>
          <w:rFonts w:cs="Tahoma"/>
          <w:bCs/>
          <w:sz w:val="26"/>
          <w:szCs w:val="26"/>
          <w:lang w:val="en-GB"/>
        </w:rPr>
        <w:t>20</w:t>
      </w:r>
      <w:r w:rsidRPr="00FA7FE1">
        <w:rPr>
          <w:rFonts w:cs="Tahoma"/>
          <w:bCs/>
          <w:sz w:val="26"/>
          <w:szCs w:val="26"/>
          <w:lang w:val="en-GB"/>
        </w:rPr>
        <w:t>)</w:t>
      </w:r>
    </w:p>
    <w:p w14:paraId="37B91FA3" w14:textId="77777777" w:rsidR="00E64288" w:rsidRPr="00FA7FE1" w:rsidRDefault="00E64288" w:rsidP="00E64288">
      <w:pPr>
        <w:jc w:val="both"/>
        <w:outlineLvl w:val="0"/>
        <w:rPr>
          <w:rFonts w:cs="Tahoma"/>
          <w:sz w:val="26"/>
          <w:szCs w:val="26"/>
          <w:lang w:val="en-GB"/>
        </w:rPr>
      </w:pPr>
    </w:p>
    <w:p w14:paraId="53FF7C91" w14:textId="77777777" w:rsidR="00E64288" w:rsidRPr="00FA7FE1" w:rsidRDefault="00E64288" w:rsidP="00E64288">
      <w:pPr>
        <w:rPr>
          <w:rFonts w:cs="Tahoma"/>
          <w:sz w:val="26"/>
          <w:szCs w:val="26"/>
          <w:lang w:val="en-GB"/>
        </w:rPr>
      </w:pPr>
      <w:r w:rsidRPr="00FA7FE1">
        <w:rPr>
          <w:rFonts w:cs="Tahoma"/>
          <w:sz w:val="26"/>
          <w:szCs w:val="26"/>
          <w:lang w:val="en-GB"/>
        </w:rPr>
        <w:t>————————————</w:t>
      </w:r>
      <w:r w:rsidRPr="00FA7FE1">
        <w:rPr>
          <w:rFonts w:cs="Tahoma"/>
          <w:sz w:val="26"/>
          <w:szCs w:val="26"/>
          <w:lang w:val="en-GB"/>
        </w:rPr>
        <w:br/>
      </w:r>
    </w:p>
    <w:p w14:paraId="0B5AA40A" w14:textId="77777777" w:rsidR="00E64288" w:rsidRPr="00FA7FE1" w:rsidRDefault="00E64288" w:rsidP="00E64288">
      <w:pPr>
        <w:rPr>
          <w:rFonts w:cs="Tahoma"/>
          <w:lang w:val="en-GB"/>
        </w:rPr>
      </w:pPr>
      <w:r w:rsidRPr="00FA7FE1">
        <w:rPr>
          <w:rFonts w:cs="Tahoma"/>
          <w:lang w:val="en-GB"/>
        </w:rPr>
        <w:t>Document presented by the Secretary General</w:t>
      </w:r>
    </w:p>
    <w:p w14:paraId="2F53D38C" w14:textId="77777777" w:rsidR="00E64288" w:rsidRPr="00FA7FE1" w:rsidRDefault="00E64288" w:rsidP="00E64288">
      <w:pPr>
        <w:jc w:val="both"/>
        <w:outlineLvl w:val="0"/>
        <w:rPr>
          <w:rFonts w:cs="Tahoma"/>
          <w:lang w:val="en-GB"/>
        </w:rPr>
      </w:pPr>
    </w:p>
    <w:p w14:paraId="3DE77960" w14:textId="77777777" w:rsidR="00E64288" w:rsidRPr="00FA7FE1" w:rsidRDefault="00E64288" w:rsidP="00E64288">
      <w:pPr>
        <w:spacing w:before="100" w:beforeAutospacing="1" w:after="100" w:afterAutospacing="1"/>
        <w:jc w:val="both"/>
        <w:outlineLvl w:val="0"/>
        <w:rPr>
          <w:rFonts w:cs="Tahoma"/>
          <w:lang w:val="en-GB"/>
        </w:rPr>
        <w:sectPr w:rsidR="00E64288" w:rsidRPr="00FA7FE1" w:rsidSect="0007286C">
          <w:headerReference w:type="even" r:id="rId8"/>
          <w:headerReference w:type="default" r:id="rId9"/>
          <w:headerReference w:type="first" r:id="rId10"/>
          <w:pgSz w:w="11907" w:h="16840" w:code="9"/>
          <w:pgMar w:top="1440" w:right="1647" w:bottom="719" w:left="1620" w:header="709" w:footer="709" w:gutter="0"/>
          <w:cols w:space="708"/>
          <w:titlePg/>
          <w:docGrid w:linePitch="360"/>
        </w:sectPr>
      </w:pPr>
      <w:bookmarkStart w:id="1" w:name="P12_34"/>
      <w:bookmarkEnd w:id="1"/>
    </w:p>
    <w:p w14:paraId="368D90DB" w14:textId="77777777" w:rsidR="00187653" w:rsidRPr="00FA7FE1" w:rsidRDefault="00187653" w:rsidP="00976CDB">
      <w:pPr>
        <w:jc w:val="both"/>
        <w:outlineLvl w:val="0"/>
        <w:rPr>
          <w:rFonts w:cs="Tahoma"/>
          <w:i/>
          <w:lang w:val="en-GB"/>
        </w:rPr>
      </w:pPr>
    </w:p>
    <w:p w14:paraId="6D2027E5" w14:textId="77777777" w:rsidR="00187653" w:rsidRPr="00FA7FE1" w:rsidRDefault="00187653" w:rsidP="00976CDB">
      <w:pPr>
        <w:jc w:val="both"/>
        <w:outlineLvl w:val="0"/>
        <w:rPr>
          <w:rFonts w:cs="Tahoma"/>
          <w:i/>
          <w:lang w:val="en-GB"/>
        </w:rPr>
      </w:pPr>
    </w:p>
    <w:p w14:paraId="052562D3" w14:textId="77777777" w:rsidR="00187653" w:rsidRPr="00FA7FE1" w:rsidRDefault="00187653" w:rsidP="00976CDB">
      <w:pPr>
        <w:jc w:val="both"/>
        <w:outlineLvl w:val="0"/>
        <w:rPr>
          <w:rFonts w:cs="Tahoma"/>
          <w:i/>
          <w:lang w:val="en-GB"/>
        </w:rPr>
      </w:pPr>
    </w:p>
    <w:p w14:paraId="50369DB8" w14:textId="77777777" w:rsidR="00187653" w:rsidRPr="00FA7FE1" w:rsidRDefault="00187653" w:rsidP="00976CDB">
      <w:pPr>
        <w:jc w:val="both"/>
        <w:outlineLvl w:val="0"/>
        <w:rPr>
          <w:rFonts w:cs="Tahoma"/>
          <w:i/>
          <w:lang w:val="en-GB"/>
        </w:rPr>
      </w:pPr>
    </w:p>
    <w:p w14:paraId="45EE00CE" w14:textId="064CED41" w:rsidR="00E64288" w:rsidRPr="00FA7FE1" w:rsidRDefault="00E64288" w:rsidP="00976CDB">
      <w:pPr>
        <w:jc w:val="both"/>
        <w:outlineLvl w:val="0"/>
        <w:rPr>
          <w:rFonts w:cs="Tahoma"/>
          <w:i/>
          <w:lang w:val="en-GB"/>
        </w:rPr>
      </w:pPr>
      <w:r w:rsidRPr="00FA7FE1">
        <w:rPr>
          <w:rFonts w:cs="Tahoma"/>
          <w:i/>
          <w:lang w:val="en-GB"/>
        </w:rPr>
        <w:t>Introduction</w:t>
      </w:r>
    </w:p>
    <w:p w14:paraId="7FE3518E" w14:textId="77777777" w:rsidR="00187653" w:rsidRPr="00FA7FE1" w:rsidRDefault="00187653" w:rsidP="00976CDB">
      <w:pPr>
        <w:jc w:val="both"/>
        <w:outlineLvl w:val="0"/>
        <w:rPr>
          <w:rFonts w:cs="Tahoma"/>
          <w:lang w:val="en-GB"/>
        </w:rPr>
      </w:pPr>
    </w:p>
    <w:p w14:paraId="56A1C7F6" w14:textId="77777777" w:rsidR="00E64288" w:rsidRPr="00FA7FE1" w:rsidRDefault="00E64288" w:rsidP="00976CDB">
      <w:pPr>
        <w:numPr>
          <w:ilvl w:val="0"/>
          <w:numId w:val="5"/>
        </w:numPr>
        <w:tabs>
          <w:tab w:val="clear" w:pos="360"/>
        </w:tabs>
        <w:ind w:left="0" w:firstLine="0"/>
        <w:jc w:val="both"/>
        <w:rPr>
          <w:rFonts w:cs="Tahoma"/>
          <w:lang w:val="en-GB"/>
        </w:rPr>
      </w:pPr>
      <w:r w:rsidRPr="00FA7FE1">
        <w:rPr>
          <w:rFonts w:cs="Tahoma"/>
          <w:lang w:val="en-GB"/>
        </w:rPr>
        <w:t>At their 1080</w:t>
      </w:r>
      <w:r w:rsidR="00122995" w:rsidRPr="00FA7FE1">
        <w:rPr>
          <w:rFonts w:cs="Tahoma"/>
          <w:vertAlign w:val="superscript"/>
          <w:lang w:val="en-GB"/>
        </w:rPr>
        <w:t>th</w:t>
      </w:r>
      <w:r w:rsidR="00122995" w:rsidRPr="00FA7FE1">
        <w:rPr>
          <w:rFonts w:cs="Tahoma"/>
          <w:lang w:val="en-GB"/>
        </w:rPr>
        <w:t xml:space="preserve"> </w:t>
      </w:r>
      <w:r w:rsidRPr="00FA7FE1">
        <w:rPr>
          <w:rFonts w:cs="Tahoma"/>
          <w:lang w:val="en-GB"/>
        </w:rPr>
        <w:t>meeting on 24 and 26 March 2010, the Ministers’ Deputies took the following decision: “</w:t>
      </w:r>
      <w:r w:rsidRPr="00FA7FE1">
        <w:rPr>
          <w:rFonts w:cs="Tahoma"/>
          <w:i/>
          <w:lang w:val="en-GB"/>
        </w:rPr>
        <w:t>The Deputies, restating the previous decisions of the Committee of Ministers, invited the Secretary General to prepare his consolidated report on the conflict in Georgia based on his outline and taking into account the comments made during the present meeting”</w:t>
      </w:r>
      <w:r w:rsidRPr="00FA7FE1">
        <w:rPr>
          <w:rFonts w:cs="Tahoma"/>
          <w:lang w:val="en-GB"/>
        </w:rPr>
        <w:t>.</w:t>
      </w:r>
    </w:p>
    <w:p w14:paraId="1780FC24" w14:textId="77777777" w:rsidR="00E64288" w:rsidRPr="00FA7FE1" w:rsidRDefault="00E64288" w:rsidP="00976CDB">
      <w:pPr>
        <w:jc w:val="both"/>
        <w:rPr>
          <w:rFonts w:cs="Tahoma"/>
          <w:lang w:val="en-GB"/>
        </w:rPr>
      </w:pPr>
    </w:p>
    <w:p w14:paraId="4A55A767" w14:textId="77777777" w:rsidR="00E64288" w:rsidRPr="00FA7FE1" w:rsidRDefault="00E64288" w:rsidP="00976CDB">
      <w:pPr>
        <w:numPr>
          <w:ilvl w:val="0"/>
          <w:numId w:val="5"/>
        </w:numPr>
        <w:tabs>
          <w:tab w:val="clear" w:pos="360"/>
        </w:tabs>
        <w:ind w:left="0" w:firstLine="0"/>
        <w:jc w:val="both"/>
        <w:rPr>
          <w:rFonts w:cs="Tahoma"/>
          <w:lang w:val="en-GB"/>
        </w:rPr>
      </w:pPr>
      <w:r w:rsidRPr="00FA7FE1">
        <w:rPr>
          <w:rFonts w:cs="Tahoma"/>
          <w:lang w:val="en-GB"/>
        </w:rPr>
        <w:t>It is recalled that the objective of the report is to take stock of the situation in Georgia following the August 2008 conflict, to report on the related activities of the Council of Europe and to propose further Council of Europe action. The report is composed of four parts:</w:t>
      </w:r>
    </w:p>
    <w:p w14:paraId="5303E858" w14:textId="77777777" w:rsidR="00E64288" w:rsidRPr="00FA7FE1" w:rsidRDefault="00E64288" w:rsidP="00976CDB">
      <w:pPr>
        <w:pStyle w:val="ListParagraph"/>
        <w:rPr>
          <w:rFonts w:cs="Tahoma"/>
          <w:lang w:val="en-GB"/>
        </w:rPr>
      </w:pPr>
    </w:p>
    <w:p w14:paraId="57F54E36" w14:textId="77777777" w:rsidR="00E64288" w:rsidRPr="00FA7FE1" w:rsidRDefault="00E64288" w:rsidP="00976CDB">
      <w:pPr>
        <w:numPr>
          <w:ilvl w:val="0"/>
          <w:numId w:val="23"/>
        </w:numPr>
        <w:ind w:left="714" w:hanging="357"/>
        <w:jc w:val="both"/>
        <w:rPr>
          <w:rFonts w:cs="Tahoma"/>
          <w:lang w:val="en-GB"/>
        </w:rPr>
      </w:pPr>
      <w:r w:rsidRPr="00FA7FE1">
        <w:rPr>
          <w:rFonts w:cs="Tahoma"/>
          <w:lang w:val="en-GB"/>
        </w:rPr>
        <w:t xml:space="preserve">update on major developments in the period under review; </w:t>
      </w:r>
    </w:p>
    <w:p w14:paraId="78C64A13" w14:textId="77777777" w:rsidR="00E64288" w:rsidRPr="00FA7FE1" w:rsidRDefault="00E64288" w:rsidP="00976CDB">
      <w:pPr>
        <w:numPr>
          <w:ilvl w:val="0"/>
          <w:numId w:val="23"/>
        </w:numPr>
        <w:jc w:val="both"/>
        <w:rPr>
          <w:rFonts w:cs="Tahoma"/>
          <w:lang w:val="en-GB"/>
        </w:rPr>
      </w:pPr>
      <w:r w:rsidRPr="00FA7FE1">
        <w:rPr>
          <w:rFonts w:cs="Tahoma"/>
          <w:lang w:val="en-GB"/>
        </w:rPr>
        <w:t xml:space="preserve">assessment of statutory obligations and commitments related to the conflict and its consequences; </w:t>
      </w:r>
    </w:p>
    <w:p w14:paraId="6A14C0A6" w14:textId="77777777" w:rsidR="00E64288" w:rsidRPr="00FA7FE1" w:rsidRDefault="00595624" w:rsidP="00976CDB">
      <w:pPr>
        <w:numPr>
          <w:ilvl w:val="0"/>
          <w:numId w:val="23"/>
        </w:numPr>
        <w:jc w:val="both"/>
        <w:rPr>
          <w:rFonts w:cs="Tahoma"/>
          <w:lang w:val="en-GB"/>
        </w:rPr>
      </w:pPr>
      <w:r w:rsidRPr="00FA7FE1">
        <w:rPr>
          <w:rFonts w:cs="Tahoma"/>
          <w:lang w:val="en-GB"/>
        </w:rPr>
        <w:t xml:space="preserve">the </w:t>
      </w:r>
      <w:r w:rsidR="00E64288" w:rsidRPr="00FA7FE1">
        <w:rPr>
          <w:rFonts w:cs="Tahoma"/>
          <w:lang w:val="en-GB"/>
        </w:rPr>
        <w:t>human rights situation in the areas affected by the conflict; and</w:t>
      </w:r>
    </w:p>
    <w:p w14:paraId="392F82FC" w14:textId="77777777" w:rsidR="00E64288" w:rsidRPr="00FA7FE1" w:rsidRDefault="00E64288" w:rsidP="00976CDB">
      <w:pPr>
        <w:numPr>
          <w:ilvl w:val="0"/>
          <w:numId w:val="23"/>
        </w:numPr>
        <w:jc w:val="both"/>
        <w:rPr>
          <w:rFonts w:cs="Tahoma"/>
          <w:lang w:val="en-GB"/>
        </w:rPr>
      </w:pPr>
      <w:r w:rsidRPr="00FA7FE1">
        <w:rPr>
          <w:rFonts w:cs="Tahoma"/>
          <w:lang w:val="en-GB"/>
        </w:rPr>
        <w:t>current Council of Europe activities aimed at addressing the consequences of the conflict, their follow-up</w:t>
      </w:r>
      <w:r w:rsidR="00512027" w:rsidRPr="00FA7FE1">
        <w:rPr>
          <w:rFonts w:cs="Tahoma"/>
          <w:lang w:val="en-GB"/>
        </w:rPr>
        <w:t>,</w:t>
      </w:r>
      <w:r w:rsidRPr="00FA7FE1">
        <w:rPr>
          <w:rFonts w:cs="Tahoma"/>
          <w:lang w:val="en-GB"/>
        </w:rPr>
        <w:t xml:space="preserve"> as well as proposals for future action.</w:t>
      </w:r>
    </w:p>
    <w:p w14:paraId="6EC0DFDA" w14:textId="77777777" w:rsidR="00E64288" w:rsidRPr="00FA7FE1" w:rsidRDefault="00E64288" w:rsidP="00976CDB">
      <w:pPr>
        <w:jc w:val="both"/>
        <w:rPr>
          <w:rFonts w:cs="Tahoma"/>
          <w:lang w:val="en-GB"/>
        </w:rPr>
      </w:pPr>
    </w:p>
    <w:p w14:paraId="78589405" w14:textId="5F145FDE" w:rsidR="00E64288" w:rsidRPr="00FA7FE1" w:rsidRDefault="00CE3978" w:rsidP="00976CDB">
      <w:pPr>
        <w:numPr>
          <w:ilvl w:val="0"/>
          <w:numId w:val="5"/>
        </w:numPr>
        <w:tabs>
          <w:tab w:val="clear" w:pos="360"/>
        </w:tabs>
        <w:ind w:left="0" w:firstLine="0"/>
        <w:jc w:val="both"/>
        <w:rPr>
          <w:rFonts w:cs="Tahoma"/>
          <w:lang w:val="en-GB"/>
        </w:rPr>
      </w:pPr>
      <w:r w:rsidRPr="00FA7FE1">
        <w:rPr>
          <w:rFonts w:cs="Tahoma"/>
          <w:lang w:val="en-GB"/>
        </w:rPr>
        <w:t xml:space="preserve">This </w:t>
      </w:r>
      <w:r w:rsidR="004C082E" w:rsidRPr="00FA7FE1">
        <w:rPr>
          <w:rFonts w:cs="Tahoma"/>
          <w:lang w:val="en-GB"/>
        </w:rPr>
        <w:t>21</w:t>
      </w:r>
      <w:r w:rsidR="00702D59" w:rsidRPr="00702D59">
        <w:rPr>
          <w:rFonts w:cs="Tahoma"/>
          <w:vertAlign w:val="superscript"/>
          <w:lang w:val="en-GB"/>
        </w:rPr>
        <w:t>st</w:t>
      </w:r>
      <w:r w:rsidR="00702D59">
        <w:rPr>
          <w:rFonts w:cs="Tahoma"/>
          <w:vertAlign w:val="superscript"/>
          <w:lang w:val="en-GB"/>
        </w:rPr>
        <w:t xml:space="preserve"> </w:t>
      </w:r>
      <w:r w:rsidR="00E64288" w:rsidRPr="00FA7FE1">
        <w:rPr>
          <w:rFonts w:cs="Tahoma"/>
          <w:lang w:val="en-GB"/>
        </w:rPr>
        <w:t xml:space="preserve">consolidated report covers the period between </w:t>
      </w:r>
      <w:r w:rsidR="004C082E" w:rsidRPr="00FA7FE1">
        <w:rPr>
          <w:rFonts w:cs="Tahoma"/>
          <w:lang w:val="en-GB"/>
        </w:rPr>
        <w:t xml:space="preserve">October 2019 </w:t>
      </w:r>
      <w:r w:rsidRPr="00FA7FE1">
        <w:rPr>
          <w:rFonts w:cs="Tahoma"/>
          <w:lang w:val="en-GB"/>
        </w:rPr>
        <w:t xml:space="preserve">and </w:t>
      </w:r>
      <w:r w:rsidR="004C082E" w:rsidRPr="00FA7FE1">
        <w:rPr>
          <w:rFonts w:cs="Tahoma"/>
          <w:lang w:val="en-GB"/>
        </w:rPr>
        <w:t xml:space="preserve">March </w:t>
      </w:r>
      <w:r w:rsidR="009C4F08" w:rsidRPr="00FA7FE1">
        <w:rPr>
          <w:rFonts w:cs="Tahoma"/>
          <w:lang w:val="en-GB"/>
        </w:rPr>
        <w:t>20</w:t>
      </w:r>
      <w:r w:rsidR="004C082E" w:rsidRPr="00FA7FE1">
        <w:rPr>
          <w:rFonts w:cs="Tahoma"/>
          <w:lang w:val="en-GB"/>
        </w:rPr>
        <w:t>20</w:t>
      </w:r>
      <w:r w:rsidRPr="00FA7FE1">
        <w:rPr>
          <w:rFonts w:cs="Tahoma"/>
          <w:lang w:val="en-GB"/>
        </w:rPr>
        <w:t xml:space="preserve">. It </w:t>
      </w:r>
      <w:r w:rsidR="00C14633" w:rsidRPr="00FA7FE1">
        <w:rPr>
          <w:rFonts w:cs="Tahoma"/>
          <w:lang w:val="en-GB"/>
        </w:rPr>
        <w:t xml:space="preserve">notably </w:t>
      </w:r>
      <w:r w:rsidRPr="00FA7FE1">
        <w:rPr>
          <w:rFonts w:cs="Tahoma"/>
          <w:lang w:val="en-GB"/>
        </w:rPr>
        <w:t xml:space="preserve">builds on the </w:t>
      </w:r>
      <w:r w:rsidR="00E64288" w:rsidRPr="00FA7FE1">
        <w:rPr>
          <w:rFonts w:cs="Tahoma"/>
          <w:lang w:val="en-GB"/>
        </w:rPr>
        <w:t>previous consolidated reports</w:t>
      </w:r>
      <w:r w:rsidR="00C14633" w:rsidRPr="00FA7FE1">
        <w:rPr>
          <w:rFonts w:cs="Tahoma"/>
          <w:lang w:val="en-GB"/>
        </w:rPr>
        <w:t xml:space="preserve"> and on the related decisions by the </w:t>
      </w:r>
      <w:r w:rsidR="007B5140" w:rsidRPr="00FA7FE1">
        <w:rPr>
          <w:rFonts w:cs="Tahoma"/>
          <w:lang w:val="en-GB"/>
        </w:rPr>
        <w:t xml:space="preserve">Deputies. </w:t>
      </w:r>
    </w:p>
    <w:p w14:paraId="79337E52" w14:textId="77777777" w:rsidR="00E64288" w:rsidRPr="00FA7FE1" w:rsidRDefault="00E64288" w:rsidP="00976CDB">
      <w:pPr>
        <w:jc w:val="both"/>
        <w:rPr>
          <w:rFonts w:cs="Tahoma"/>
          <w:lang w:val="en-GB"/>
        </w:rPr>
      </w:pPr>
    </w:p>
    <w:p w14:paraId="47820F64" w14:textId="656EF9EE" w:rsidR="00244423" w:rsidRPr="00FA7FE1" w:rsidRDefault="00C72AB6" w:rsidP="00244423">
      <w:pPr>
        <w:keepNext/>
        <w:keepLines/>
        <w:numPr>
          <w:ilvl w:val="0"/>
          <w:numId w:val="5"/>
        </w:numPr>
        <w:tabs>
          <w:tab w:val="clear" w:pos="360"/>
        </w:tabs>
        <w:ind w:left="0" w:firstLine="0"/>
        <w:jc w:val="both"/>
        <w:rPr>
          <w:rFonts w:cs="Tahoma"/>
          <w:lang w:val="en-GB"/>
        </w:rPr>
      </w:pPr>
      <w:r w:rsidRPr="00FA7FE1">
        <w:rPr>
          <w:rFonts w:cs="Tahoma"/>
          <w:lang w:val="en-GB"/>
        </w:rPr>
        <w:t>A delegation of the</w:t>
      </w:r>
      <w:r w:rsidR="00E64288" w:rsidRPr="00FA7FE1">
        <w:rPr>
          <w:rFonts w:cs="Tahoma"/>
          <w:lang w:val="en-GB"/>
        </w:rPr>
        <w:t xml:space="preserve"> Secretariat carried out a fact-finding visit to Tbilisi </w:t>
      </w:r>
      <w:r w:rsidR="00762DE2" w:rsidRPr="00FA7FE1">
        <w:rPr>
          <w:rFonts w:cs="Tahoma"/>
          <w:lang w:val="en-GB"/>
        </w:rPr>
        <w:t>on</w:t>
      </w:r>
      <w:r w:rsidR="00AF1EDC" w:rsidRPr="00FA7FE1">
        <w:rPr>
          <w:rFonts w:cs="Tahoma"/>
          <w:lang w:val="en-GB"/>
        </w:rPr>
        <w:t xml:space="preserve"> </w:t>
      </w:r>
      <w:r w:rsidR="00762DE2" w:rsidRPr="00FA7FE1">
        <w:rPr>
          <w:rFonts w:cs="Tahoma"/>
          <w:lang w:val="en-GB"/>
        </w:rPr>
        <w:br/>
      </w:r>
      <w:r w:rsidR="00244423" w:rsidRPr="00FA7FE1">
        <w:rPr>
          <w:rFonts w:cs="Tahoma"/>
          <w:lang w:val="en-GB"/>
        </w:rPr>
        <w:t>3-5</w:t>
      </w:r>
      <w:r w:rsidR="000D0E1D" w:rsidRPr="00FA7FE1">
        <w:rPr>
          <w:rFonts w:cs="Tahoma"/>
          <w:lang w:val="en-GB"/>
        </w:rPr>
        <w:t xml:space="preserve"> </w:t>
      </w:r>
      <w:r w:rsidR="00244423" w:rsidRPr="00FA7FE1">
        <w:rPr>
          <w:rFonts w:cs="Tahoma"/>
          <w:lang w:val="en-GB"/>
        </w:rPr>
        <w:t xml:space="preserve">February </w:t>
      </w:r>
      <w:r w:rsidR="002633BD" w:rsidRPr="00FA7FE1">
        <w:rPr>
          <w:rFonts w:cs="Tahoma"/>
          <w:lang w:val="en-GB"/>
        </w:rPr>
        <w:t>20</w:t>
      </w:r>
      <w:r w:rsidR="00244423" w:rsidRPr="00FA7FE1">
        <w:rPr>
          <w:rFonts w:cs="Tahoma"/>
          <w:lang w:val="en-GB"/>
        </w:rPr>
        <w:t>20</w:t>
      </w:r>
      <w:r w:rsidR="00E64288" w:rsidRPr="00FA7FE1">
        <w:rPr>
          <w:rFonts w:cs="Tahoma"/>
          <w:lang w:val="en-GB"/>
        </w:rPr>
        <w:t xml:space="preserve"> and had the opportunity to discuss the situation</w:t>
      </w:r>
      <w:r w:rsidR="00AF1EDC" w:rsidRPr="00FA7FE1">
        <w:rPr>
          <w:rFonts w:cs="Tahoma"/>
          <w:lang w:val="en-GB"/>
        </w:rPr>
        <w:t xml:space="preserve"> with the Georgian authorities</w:t>
      </w:r>
      <w:r w:rsidR="008853B0" w:rsidRPr="00FA7FE1">
        <w:rPr>
          <w:rFonts w:cs="Tahoma"/>
          <w:lang w:val="en-GB"/>
        </w:rPr>
        <w:t xml:space="preserve"> </w:t>
      </w:r>
      <w:r w:rsidR="0015348A" w:rsidRPr="00FA7FE1">
        <w:rPr>
          <w:rFonts w:cs="Tahoma"/>
          <w:lang w:val="en-GB"/>
        </w:rPr>
        <w:t>as well as</w:t>
      </w:r>
      <w:r w:rsidR="000D7B41" w:rsidRPr="00FA7FE1">
        <w:rPr>
          <w:rFonts w:cs="Tahoma"/>
          <w:lang w:val="en-GB"/>
        </w:rPr>
        <w:t xml:space="preserve"> </w:t>
      </w:r>
      <w:r w:rsidR="00AF1EDC" w:rsidRPr="00FA7FE1">
        <w:rPr>
          <w:rFonts w:cs="Tahoma"/>
          <w:lang w:val="en-GB"/>
        </w:rPr>
        <w:t xml:space="preserve">representatives of </w:t>
      </w:r>
      <w:r w:rsidR="00E64288" w:rsidRPr="00FA7FE1">
        <w:rPr>
          <w:rFonts w:cs="Tahoma"/>
          <w:lang w:val="en-GB"/>
        </w:rPr>
        <w:t>international organisations. The Secretariat wishes to express its gratitude to the Georgian authorities for their support in organising the visit and to all interlocutors</w:t>
      </w:r>
      <w:r w:rsidR="0015348A" w:rsidRPr="00FA7FE1">
        <w:rPr>
          <w:rFonts w:cs="Tahoma"/>
          <w:lang w:val="en-GB"/>
        </w:rPr>
        <w:t xml:space="preserve"> </w:t>
      </w:r>
      <w:r w:rsidR="00E64288" w:rsidRPr="00FA7FE1">
        <w:rPr>
          <w:rFonts w:cs="Tahoma"/>
          <w:lang w:val="en-GB"/>
        </w:rPr>
        <w:t>for their assistance and valuable contributions.</w:t>
      </w:r>
    </w:p>
    <w:p w14:paraId="6395560E" w14:textId="77777777" w:rsidR="00244423" w:rsidRPr="00FA7FE1" w:rsidRDefault="00244423" w:rsidP="00CA7654">
      <w:pPr>
        <w:pStyle w:val="ListParagraph"/>
        <w:rPr>
          <w:rFonts w:cs="Tahoma"/>
          <w:lang w:val="en-GB"/>
        </w:rPr>
      </w:pPr>
    </w:p>
    <w:p w14:paraId="7313320C" w14:textId="3978D636" w:rsidR="00244423" w:rsidRPr="00FA7FE1" w:rsidRDefault="00244423" w:rsidP="00244423">
      <w:pPr>
        <w:keepNext/>
        <w:keepLines/>
        <w:numPr>
          <w:ilvl w:val="0"/>
          <w:numId w:val="5"/>
        </w:numPr>
        <w:tabs>
          <w:tab w:val="clear" w:pos="360"/>
        </w:tabs>
        <w:ind w:left="0" w:firstLine="0"/>
        <w:jc w:val="both"/>
        <w:rPr>
          <w:rFonts w:cs="Tahoma"/>
          <w:lang w:val="en-GB"/>
        </w:rPr>
      </w:pPr>
      <w:r w:rsidRPr="00FA7FE1">
        <w:rPr>
          <w:rFonts w:cs="Tahoma"/>
          <w:lang w:val="en-GB"/>
        </w:rPr>
        <w:t xml:space="preserve">Despite continued efforts, the Secretariat was not given </w:t>
      </w:r>
      <w:r w:rsidR="00374691" w:rsidRPr="00FA7FE1">
        <w:rPr>
          <w:rFonts w:cs="Tahoma"/>
          <w:lang w:val="en-GB"/>
        </w:rPr>
        <w:t xml:space="preserve">the </w:t>
      </w:r>
      <w:r w:rsidRPr="00FA7FE1">
        <w:rPr>
          <w:rFonts w:cs="Tahoma"/>
          <w:lang w:val="en-GB"/>
        </w:rPr>
        <w:t xml:space="preserve">authorisation to visit Abkhazia and South Ossetia for the purpose of this consolidated report. The Secretary General intends to pursue </w:t>
      </w:r>
      <w:r w:rsidR="00275061" w:rsidRPr="00FA7FE1">
        <w:rPr>
          <w:rFonts w:cs="Tahoma"/>
          <w:lang w:val="en-GB"/>
        </w:rPr>
        <w:t xml:space="preserve">her </w:t>
      </w:r>
      <w:r w:rsidRPr="00FA7FE1">
        <w:rPr>
          <w:rFonts w:cs="Tahoma"/>
          <w:lang w:val="en-GB"/>
        </w:rPr>
        <w:t>efforts in view of fact-finding visits to Abkhazia and South Ossetia for the preparation of future consolidated reports. At the same time, it should be noted that</w:t>
      </w:r>
      <w:r w:rsidR="00BD18E7" w:rsidRPr="00FA7FE1">
        <w:rPr>
          <w:rFonts w:cs="Tahoma"/>
          <w:lang w:val="en-GB"/>
        </w:rPr>
        <w:t>,</w:t>
      </w:r>
      <w:r w:rsidRPr="00FA7FE1">
        <w:rPr>
          <w:rFonts w:cs="Tahoma"/>
          <w:lang w:val="en-GB"/>
        </w:rPr>
        <w:t xml:space="preserve"> in the period under review</w:t>
      </w:r>
      <w:r w:rsidR="00BD18E7" w:rsidRPr="00FA7FE1">
        <w:rPr>
          <w:rFonts w:cs="Tahoma"/>
          <w:lang w:val="en-GB"/>
        </w:rPr>
        <w:t>,</w:t>
      </w:r>
      <w:r w:rsidRPr="00FA7FE1">
        <w:rPr>
          <w:rFonts w:cs="Tahoma"/>
          <w:lang w:val="en-GB"/>
        </w:rPr>
        <w:t xml:space="preserve"> the Secretariat members and experts continued </w:t>
      </w:r>
      <w:r w:rsidR="00275061" w:rsidRPr="00FA7FE1">
        <w:rPr>
          <w:rFonts w:cs="Tahoma"/>
          <w:lang w:val="en-GB"/>
        </w:rPr>
        <w:t>to have contact with interlocutors in</w:t>
      </w:r>
      <w:r w:rsidRPr="00FA7FE1">
        <w:rPr>
          <w:rFonts w:cs="Tahoma"/>
          <w:lang w:val="en-GB"/>
        </w:rPr>
        <w:t xml:space="preserve"> Sukhumi for the purpose of </w:t>
      </w:r>
      <w:r w:rsidR="00BD18E7" w:rsidRPr="00FA7FE1">
        <w:rPr>
          <w:rFonts w:cs="Tahoma"/>
          <w:lang w:val="en-GB"/>
        </w:rPr>
        <w:t xml:space="preserve">the </w:t>
      </w:r>
      <w:r w:rsidRPr="00FA7FE1">
        <w:rPr>
          <w:rFonts w:cs="Tahoma"/>
          <w:lang w:val="en-GB"/>
        </w:rPr>
        <w:t xml:space="preserve">implementation of </w:t>
      </w:r>
      <w:r w:rsidR="00BD18E7" w:rsidRPr="00FA7FE1">
        <w:rPr>
          <w:rFonts w:cs="Tahoma"/>
          <w:lang w:val="en-GB"/>
        </w:rPr>
        <w:t xml:space="preserve">activities on </w:t>
      </w:r>
      <w:r w:rsidRPr="00FA7FE1">
        <w:rPr>
          <w:rFonts w:cs="Tahoma"/>
          <w:lang w:val="en-GB"/>
        </w:rPr>
        <w:t>Confidence-Building Measures (CBMs) (cf. Section IV.3).</w:t>
      </w:r>
    </w:p>
    <w:p w14:paraId="4273E3D4" w14:textId="77777777" w:rsidR="00244423" w:rsidRPr="00FA7FE1" w:rsidRDefault="00244423" w:rsidP="00CA7654">
      <w:pPr>
        <w:keepNext/>
        <w:keepLines/>
        <w:jc w:val="both"/>
        <w:rPr>
          <w:rFonts w:cs="Tahoma"/>
          <w:lang w:val="en-GB"/>
        </w:rPr>
      </w:pPr>
    </w:p>
    <w:p w14:paraId="3498EB24" w14:textId="4F48BB18" w:rsidR="00244423" w:rsidRPr="00FA7FE1" w:rsidRDefault="00244423" w:rsidP="00D81866">
      <w:pPr>
        <w:keepNext/>
        <w:keepLines/>
        <w:numPr>
          <w:ilvl w:val="0"/>
          <w:numId w:val="5"/>
        </w:numPr>
        <w:tabs>
          <w:tab w:val="clear" w:pos="360"/>
        </w:tabs>
        <w:ind w:left="0" w:firstLine="0"/>
        <w:jc w:val="both"/>
        <w:rPr>
          <w:rFonts w:cs="Tahoma"/>
          <w:lang w:val="en-GB"/>
        </w:rPr>
      </w:pPr>
      <w:r w:rsidRPr="00FA7FE1">
        <w:rPr>
          <w:rFonts w:cs="Tahoma"/>
          <w:lang w:val="en-GB"/>
        </w:rPr>
        <w:t>This report does not replace the monitoring procedures established in the Council of Europe. Nor should it be seen as prejudging any possible decisions in the cases related to the conflict and its consequences, which are currently pending before the European Court of Human Rights.</w:t>
      </w:r>
    </w:p>
    <w:p w14:paraId="579083DD" w14:textId="619D7EF2" w:rsidR="00D81866" w:rsidRPr="00FA7FE1" w:rsidRDefault="00D81866" w:rsidP="00187653">
      <w:pPr>
        <w:rPr>
          <w:rFonts w:cs="Tahoma"/>
          <w:lang w:val="en-GB"/>
        </w:rPr>
      </w:pPr>
    </w:p>
    <w:p w14:paraId="343E5D5D" w14:textId="0A9A23D4" w:rsidR="00D81866" w:rsidRPr="00FA7FE1" w:rsidRDefault="00D81866" w:rsidP="00D81866">
      <w:pPr>
        <w:keepNext/>
        <w:keepLines/>
        <w:jc w:val="both"/>
        <w:rPr>
          <w:rFonts w:cs="Tahoma"/>
          <w:lang w:val="en-GB"/>
        </w:rPr>
      </w:pPr>
    </w:p>
    <w:p w14:paraId="6981A39C" w14:textId="44041BB6" w:rsidR="00244423" w:rsidRPr="00FA7FE1" w:rsidRDefault="00244423" w:rsidP="00244423">
      <w:pPr>
        <w:keepNext/>
        <w:keepLines/>
        <w:numPr>
          <w:ilvl w:val="0"/>
          <w:numId w:val="5"/>
        </w:numPr>
        <w:tabs>
          <w:tab w:val="clear" w:pos="360"/>
        </w:tabs>
        <w:ind w:left="0" w:firstLine="0"/>
        <w:jc w:val="both"/>
        <w:rPr>
          <w:rFonts w:cs="Tahoma"/>
          <w:lang w:val="en-GB"/>
        </w:rPr>
      </w:pPr>
      <w:r w:rsidRPr="00FA7FE1">
        <w:rPr>
          <w:rFonts w:cs="Tahoma"/>
          <w:lang w:val="en-GB"/>
        </w:rPr>
        <w:t>Nothing in this report should be interpreted as being contrary to the full respect of the territorial integrity and sovereignty of Georgia within its internationally recognised borders.</w:t>
      </w:r>
      <w:r w:rsidRPr="00FA7FE1">
        <w:rPr>
          <w:rFonts w:cs="Tahoma"/>
          <w:vertAlign w:val="superscript"/>
          <w:lang w:val="en-GB"/>
        </w:rPr>
        <w:footnoteReference w:id="2"/>
      </w:r>
      <w:r w:rsidRPr="00FA7FE1">
        <w:rPr>
          <w:rFonts w:cs="Tahoma"/>
          <w:lang w:val="en-GB"/>
        </w:rPr>
        <w:t xml:space="preserve"> </w:t>
      </w:r>
    </w:p>
    <w:p w14:paraId="046C7914" w14:textId="77777777" w:rsidR="00244423" w:rsidRPr="00FA7FE1" w:rsidRDefault="00244423" w:rsidP="00244423">
      <w:pPr>
        <w:keepNext/>
        <w:keepLines/>
        <w:jc w:val="both"/>
        <w:rPr>
          <w:rFonts w:cs="Tahoma"/>
          <w:lang w:val="en-GB"/>
        </w:rPr>
      </w:pPr>
    </w:p>
    <w:p w14:paraId="506DB899" w14:textId="77777777" w:rsidR="00244423" w:rsidRPr="00FA7FE1" w:rsidRDefault="00244423" w:rsidP="00CA7654">
      <w:pPr>
        <w:keepNext/>
        <w:keepLines/>
        <w:numPr>
          <w:ilvl w:val="0"/>
          <w:numId w:val="5"/>
        </w:numPr>
        <w:tabs>
          <w:tab w:val="clear" w:pos="360"/>
        </w:tabs>
        <w:ind w:left="0" w:firstLine="0"/>
        <w:jc w:val="both"/>
        <w:rPr>
          <w:rFonts w:cs="Tahoma"/>
          <w:lang w:val="en-GB"/>
        </w:rPr>
      </w:pPr>
      <w:r w:rsidRPr="00FA7FE1">
        <w:rPr>
          <w:rFonts w:cs="Tahoma"/>
          <w:lang w:val="en-GB"/>
        </w:rPr>
        <w:t xml:space="preserve">This report does not prejudge or infringe upon a possible future political settlement of the conflict within the framework of the Geneva International Discussions (GID), nor the implementation of the six-point agreement of 12 August 2008 and the implementing measures of 8 September 2008. </w:t>
      </w:r>
    </w:p>
    <w:p w14:paraId="39699874" w14:textId="77777777" w:rsidR="00244423" w:rsidRPr="00FA7FE1" w:rsidRDefault="00244423" w:rsidP="00CA7654">
      <w:pPr>
        <w:keepNext/>
        <w:keepLines/>
        <w:jc w:val="both"/>
        <w:rPr>
          <w:rFonts w:cs="Tahoma"/>
          <w:lang w:val="en-GB"/>
        </w:rPr>
      </w:pPr>
    </w:p>
    <w:p w14:paraId="49C1DC90" w14:textId="77777777" w:rsidR="00A220AF" w:rsidRPr="00FA7FE1" w:rsidRDefault="00A220AF" w:rsidP="00976CDB">
      <w:pPr>
        <w:keepNext/>
        <w:keepLines/>
        <w:jc w:val="both"/>
        <w:rPr>
          <w:rFonts w:cs="Tahoma"/>
          <w:i/>
          <w:lang w:val="en-GB"/>
        </w:rPr>
      </w:pPr>
      <w:r w:rsidRPr="00FA7FE1">
        <w:rPr>
          <w:rFonts w:cs="Tahoma"/>
          <w:i/>
          <w:lang w:val="en-GB"/>
        </w:rPr>
        <w:t>I</w:t>
      </w:r>
      <w:r w:rsidRPr="00FA7FE1">
        <w:rPr>
          <w:rFonts w:cs="Tahoma"/>
          <w:i/>
          <w:lang w:val="en-GB"/>
        </w:rPr>
        <w:tab/>
        <w:t xml:space="preserve">Update on major developments in the period under review </w:t>
      </w:r>
    </w:p>
    <w:p w14:paraId="2D375775" w14:textId="77777777" w:rsidR="006A7BF1" w:rsidRPr="00FA7FE1" w:rsidRDefault="006A7BF1" w:rsidP="00976CDB">
      <w:pPr>
        <w:keepNext/>
        <w:keepLines/>
        <w:jc w:val="both"/>
        <w:rPr>
          <w:rFonts w:cs="Tahoma"/>
          <w:lang w:val="en-GB"/>
        </w:rPr>
      </w:pPr>
    </w:p>
    <w:p w14:paraId="3F22E07F" w14:textId="34266B81" w:rsidR="006A5FDD" w:rsidRPr="00FA7FE1" w:rsidRDefault="006A7BF1" w:rsidP="00CA7654">
      <w:pPr>
        <w:keepNext/>
        <w:keepLines/>
        <w:numPr>
          <w:ilvl w:val="0"/>
          <w:numId w:val="5"/>
        </w:numPr>
        <w:tabs>
          <w:tab w:val="clear" w:pos="360"/>
        </w:tabs>
        <w:ind w:left="0" w:firstLine="0"/>
        <w:jc w:val="both"/>
        <w:rPr>
          <w:rFonts w:cs="Tahoma"/>
          <w:lang w:val="en-GB"/>
        </w:rPr>
      </w:pPr>
      <w:r w:rsidRPr="00FA7FE1">
        <w:rPr>
          <w:rFonts w:cs="Tahoma"/>
          <w:lang w:val="en-GB"/>
        </w:rPr>
        <w:t xml:space="preserve"> The 4</w:t>
      </w:r>
      <w:r w:rsidR="007B267B" w:rsidRPr="00FA7FE1">
        <w:rPr>
          <w:rFonts w:cs="Tahoma"/>
          <w:lang w:val="en-GB"/>
        </w:rPr>
        <w:t>9</w:t>
      </w:r>
      <w:r w:rsidR="003C4476" w:rsidRPr="00FA7FE1">
        <w:rPr>
          <w:rFonts w:cs="Tahoma"/>
          <w:vertAlign w:val="superscript"/>
          <w:lang w:val="en-GB"/>
        </w:rPr>
        <w:t>th</w:t>
      </w:r>
      <w:r w:rsidR="003C4476" w:rsidRPr="00FA7FE1">
        <w:rPr>
          <w:rFonts w:cs="Tahoma"/>
          <w:lang w:val="en-GB"/>
        </w:rPr>
        <w:t xml:space="preserve"> </w:t>
      </w:r>
      <w:r w:rsidR="007B267B" w:rsidRPr="00FA7FE1">
        <w:rPr>
          <w:rFonts w:cs="Tahoma"/>
          <w:lang w:val="en-GB"/>
        </w:rPr>
        <w:t>and 50</w:t>
      </w:r>
      <w:r w:rsidR="007B267B" w:rsidRPr="00FA7FE1">
        <w:rPr>
          <w:rFonts w:cs="Tahoma"/>
          <w:vertAlign w:val="superscript"/>
          <w:lang w:val="en-GB"/>
        </w:rPr>
        <w:t>th</w:t>
      </w:r>
      <w:r w:rsidR="007B267B" w:rsidRPr="00FA7FE1">
        <w:rPr>
          <w:rFonts w:cs="Tahoma"/>
          <w:lang w:val="en-GB"/>
        </w:rPr>
        <w:t xml:space="preserve"> </w:t>
      </w:r>
      <w:r w:rsidRPr="00FA7FE1">
        <w:rPr>
          <w:rFonts w:cs="Tahoma"/>
          <w:lang w:val="en-GB"/>
        </w:rPr>
        <w:t>round</w:t>
      </w:r>
      <w:r w:rsidR="007B267B" w:rsidRPr="00FA7FE1">
        <w:rPr>
          <w:rFonts w:cs="Tahoma"/>
          <w:lang w:val="en-GB"/>
        </w:rPr>
        <w:t>s</w:t>
      </w:r>
      <w:r w:rsidRPr="00FA7FE1">
        <w:rPr>
          <w:rFonts w:cs="Tahoma"/>
          <w:lang w:val="en-GB"/>
        </w:rPr>
        <w:t xml:space="preserve"> of Geneva International Discussions (GID) co-chaired by representatives of the European Union</w:t>
      </w:r>
      <w:r w:rsidR="003C4476" w:rsidRPr="00FA7FE1">
        <w:rPr>
          <w:rFonts w:cs="Tahoma"/>
          <w:lang w:val="en-GB"/>
        </w:rPr>
        <w:t xml:space="preserve"> (EU)</w:t>
      </w:r>
      <w:r w:rsidRPr="00FA7FE1">
        <w:rPr>
          <w:rFonts w:cs="Tahoma"/>
          <w:lang w:val="en-GB"/>
        </w:rPr>
        <w:t>, the Organisation for Security and Co</w:t>
      </w:r>
      <w:r w:rsidR="00BD18E7" w:rsidRPr="00FA7FE1">
        <w:rPr>
          <w:rFonts w:cs="Tahoma"/>
          <w:lang w:val="en-GB"/>
        </w:rPr>
        <w:t>-</w:t>
      </w:r>
      <w:r w:rsidRPr="00FA7FE1">
        <w:rPr>
          <w:rFonts w:cs="Tahoma"/>
          <w:lang w:val="en-GB"/>
        </w:rPr>
        <w:t xml:space="preserve">operation in Europe (OSCE) and the United Nations </w:t>
      </w:r>
      <w:r w:rsidR="00BB2186" w:rsidRPr="00FA7FE1">
        <w:rPr>
          <w:rFonts w:cs="Tahoma"/>
          <w:lang w:val="en-GB"/>
        </w:rPr>
        <w:t xml:space="preserve">(UN) </w:t>
      </w:r>
      <w:r w:rsidRPr="00FA7FE1">
        <w:rPr>
          <w:rFonts w:cs="Tahoma"/>
          <w:lang w:val="en-GB"/>
        </w:rPr>
        <w:t>w</w:t>
      </w:r>
      <w:r w:rsidR="007B267B" w:rsidRPr="00FA7FE1">
        <w:rPr>
          <w:rFonts w:cs="Tahoma"/>
          <w:lang w:val="en-GB"/>
        </w:rPr>
        <w:t>ere</w:t>
      </w:r>
      <w:r w:rsidRPr="00FA7FE1">
        <w:rPr>
          <w:rFonts w:cs="Tahoma"/>
          <w:lang w:val="en-GB"/>
        </w:rPr>
        <w:t xml:space="preserve"> held</w:t>
      </w:r>
      <w:r w:rsidR="007B267B" w:rsidRPr="00FA7FE1">
        <w:rPr>
          <w:rFonts w:cs="Tahoma"/>
          <w:lang w:val="en-GB"/>
        </w:rPr>
        <w:t xml:space="preserve"> respectively </w:t>
      </w:r>
      <w:r w:rsidRPr="00FA7FE1">
        <w:rPr>
          <w:rFonts w:cs="Tahoma"/>
          <w:lang w:val="en-GB"/>
        </w:rPr>
        <w:t xml:space="preserve">on </w:t>
      </w:r>
      <w:r w:rsidR="007B267B" w:rsidRPr="00FA7FE1">
        <w:rPr>
          <w:rFonts w:cs="Tahoma"/>
          <w:lang w:val="en-GB"/>
        </w:rPr>
        <w:t>9 October</w:t>
      </w:r>
      <w:r w:rsidR="00D81866" w:rsidRPr="00FA7FE1">
        <w:rPr>
          <w:rStyle w:val="FootnoteReference"/>
          <w:rFonts w:cs="Tahoma"/>
          <w:lang w:val="en-GB"/>
        </w:rPr>
        <w:footnoteReference w:id="3"/>
      </w:r>
      <w:r w:rsidR="007B267B" w:rsidRPr="00FA7FE1">
        <w:rPr>
          <w:rFonts w:cs="Tahoma"/>
          <w:lang w:val="en-GB"/>
        </w:rPr>
        <w:t xml:space="preserve"> and 10-11 December 2019</w:t>
      </w:r>
      <w:r w:rsidR="00D81866" w:rsidRPr="00FA7FE1">
        <w:rPr>
          <w:rFonts w:cs="Tahoma"/>
          <w:lang w:val="en-GB"/>
        </w:rPr>
        <w:t>.</w:t>
      </w:r>
      <w:r w:rsidR="00D81866" w:rsidRPr="00FA7FE1">
        <w:rPr>
          <w:rStyle w:val="FootnoteReference"/>
          <w:rFonts w:cs="Tahoma"/>
          <w:lang w:val="en-GB"/>
        </w:rPr>
        <w:footnoteReference w:id="4"/>
      </w:r>
      <w:r w:rsidRPr="00FA7FE1">
        <w:rPr>
          <w:rFonts w:cs="Tahoma"/>
          <w:lang w:val="en-GB"/>
        </w:rPr>
        <w:t xml:space="preserve"> </w:t>
      </w:r>
      <w:r w:rsidR="007B267B" w:rsidRPr="00FA7FE1">
        <w:rPr>
          <w:rFonts w:cs="Tahoma"/>
          <w:lang w:val="en-GB"/>
        </w:rPr>
        <w:t xml:space="preserve">Participants have continued to express commitment to the GID. At the same time, </w:t>
      </w:r>
      <w:r w:rsidR="006A5FDD" w:rsidRPr="00FA7FE1">
        <w:rPr>
          <w:rFonts w:cs="Tahoma"/>
          <w:lang w:val="en-GB"/>
        </w:rPr>
        <w:t xml:space="preserve">at the last meeting </w:t>
      </w:r>
      <w:r w:rsidR="007B267B" w:rsidRPr="00FA7FE1">
        <w:rPr>
          <w:rFonts w:cs="Tahoma"/>
          <w:lang w:val="en-GB"/>
        </w:rPr>
        <w:t xml:space="preserve">the Co-Chairs </w:t>
      </w:r>
      <w:r w:rsidR="006A5FDD" w:rsidRPr="00FA7FE1">
        <w:rPr>
          <w:rFonts w:cs="Tahoma"/>
          <w:lang w:val="en-GB"/>
        </w:rPr>
        <w:t>noted that, while engagement by participants contributed to relative stability</w:t>
      </w:r>
      <w:r w:rsidR="000C6B96" w:rsidRPr="00FA7FE1">
        <w:rPr>
          <w:rFonts w:cs="Tahoma"/>
          <w:lang w:val="en-GB"/>
        </w:rPr>
        <w:t xml:space="preserve"> over the past decades</w:t>
      </w:r>
      <w:r w:rsidR="006A5FDD" w:rsidRPr="00FA7FE1">
        <w:rPr>
          <w:rFonts w:cs="Tahoma"/>
          <w:lang w:val="en-GB"/>
        </w:rPr>
        <w:t>, the core security and humanitarian issues have remained unresolved</w:t>
      </w:r>
      <w:r w:rsidR="00676E09" w:rsidRPr="00FA7FE1">
        <w:rPr>
          <w:rFonts w:cs="Tahoma"/>
          <w:lang w:val="en-GB"/>
        </w:rPr>
        <w:t>. The Co-Chairs in particular noted a deteriorating situation on the ground</w:t>
      </w:r>
      <w:r w:rsidR="00EF3910" w:rsidRPr="00FA7FE1">
        <w:rPr>
          <w:rFonts w:cs="Tahoma"/>
          <w:lang w:val="en-GB"/>
        </w:rPr>
        <w:t xml:space="preserve"> and </w:t>
      </w:r>
      <w:r w:rsidR="00676E09" w:rsidRPr="00FA7FE1">
        <w:rPr>
          <w:rFonts w:cs="Tahoma"/>
          <w:lang w:val="en-GB"/>
        </w:rPr>
        <w:t xml:space="preserve">that </w:t>
      </w:r>
      <w:r w:rsidR="00EF3910" w:rsidRPr="00FA7FE1">
        <w:rPr>
          <w:rFonts w:cs="Tahoma"/>
          <w:lang w:val="en-GB"/>
        </w:rPr>
        <w:t>the participants’ diverging positions on key issues of the agenda have become further entrenched</w:t>
      </w:r>
      <w:r w:rsidR="006A5FDD" w:rsidRPr="00FA7FE1">
        <w:rPr>
          <w:rFonts w:cs="Tahoma"/>
          <w:lang w:val="en-GB"/>
        </w:rPr>
        <w:t xml:space="preserve">. </w:t>
      </w:r>
      <w:r w:rsidR="00676E09" w:rsidRPr="00FA7FE1">
        <w:rPr>
          <w:rFonts w:cs="Tahoma"/>
          <w:lang w:val="en-GB"/>
        </w:rPr>
        <w:t>They pointed out serious security challenges in the Chorchana–Tsnelisi area</w:t>
      </w:r>
      <w:r w:rsidR="00BD18E7" w:rsidRPr="00FA7FE1">
        <w:rPr>
          <w:rFonts w:cs="Tahoma"/>
          <w:lang w:val="en-GB"/>
        </w:rPr>
        <w:t xml:space="preserve"> since August 2019</w:t>
      </w:r>
      <w:r w:rsidR="00676E09" w:rsidRPr="00FA7FE1">
        <w:rPr>
          <w:rFonts w:cs="Tahoma"/>
          <w:lang w:val="en-GB"/>
        </w:rPr>
        <w:t xml:space="preserve">. </w:t>
      </w:r>
      <w:r w:rsidR="006A5FDD" w:rsidRPr="00FA7FE1">
        <w:rPr>
          <w:rFonts w:cs="Tahoma"/>
          <w:lang w:val="en-GB"/>
        </w:rPr>
        <w:t>The Co-</w:t>
      </w:r>
      <w:r w:rsidR="00BD18E7" w:rsidRPr="00FA7FE1">
        <w:rPr>
          <w:rFonts w:cs="Tahoma"/>
          <w:lang w:val="en-GB"/>
        </w:rPr>
        <w:t>C</w:t>
      </w:r>
      <w:r w:rsidR="006A5FDD" w:rsidRPr="00FA7FE1">
        <w:rPr>
          <w:rFonts w:cs="Tahoma"/>
          <w:lang w:val="en-GB"/>
        </w:rPr>
        <w:t>hairs reiterated their calls for participants to reduce tensions on</w:t>
      </w:r>
      <w:r w:rsidR="00F51DF3">
        <w:rPr>
          <w:rFonts w:cs="Tahoma"/>
          <w:lang w:val="en-GB"/>
        </w:rPr>
        <w:t xml:space="preserve"> and along</w:t>
      </w:r>
      <w:r w:rsidR="006A5FDD" w:rsidRPr="00FA7FE1">
        <w:rPr>
          <w:rFonts w:cs="Tahoma"/>
          <w:lang w:val="en-GB"/>
        </w:rPr>
        <w:t xml:space="preserve"> the </w:t>
      </w:r>
      <w:r w:rsidR="00A87F30" w:rsidRPr="00FA7FE1">
        <w:rPr>
          <w:rFonts w:cs="Tahoma"/>
          <w:lang w:val="en-GB"/>
        </w:rPr>
        <w:t>Administrative Boundary Line</w:t>
      </w:r>
      <w:r w:rsidR="00275061" w:rsidRPr="00FA7FE1">
        <w:rPr>
          <w:rFonts w:cs="Tahoma"/>
          <w:lang w:val="en-GB"/>
        </w:rPr>
        <w:t xml:space="preserve"> with South Ossetia</w:t>
      </w:r>
      <w:r w:rsidR="006A5FDD" w:rsidRPr="00FA7FE1">
        <w:rPr>
          <w:rFonts w:cs="Tahoma"/>
          <w:lang w:val="en-GB"/>
        </w:rPr>
        <w:t>, for all crossing points to be reopened, for all detainees to be released, and for participants to engage constructively in dialogue — in Geneva, as well as in the Gali and Ergneti Incident Prevention and Response Mechanisms (IPRMs).</w:t>
      </w:r>
    </w:p>
    <w:p w14:paraId="380B3C6F" w14:textId="77777777" w:rsidR="000C6B96" w:rsidRPr="00FA7FE1" w:rsidRDefault="000C6B96" w:rsidP="00CA7654">
      <w:pPr>
        <w:keepNext/>
        <w:keepLines/>
        <w:jc w:val="both"/>
        <w:rPr>
          <w:rFonts w:cs="Tahoma"/>
          <w:lang w:val="en-GB"/>
        </w:rPr>
      </w:pPr>
    </w:p>
    <w:p w14:paraId="6FB39304" w14:textId="6B04A9C5" w:rsidR="009A2AAC" w:rsidRPr="00FA7FE1" w:rsidRDefault="007B267B" w:rsidP="00D81866">
      <w:pPr>
        <w:keepNext/>
        <w:keepLines/>
        <w:numPr>
          <w:ilvl w:val="0"/>
          <w:numId w:val="5"/>
        </w:numPr>
        <w:tabs>
          <w:tab w:val="clear" w:pos="360"/>
        </w:tabs>
        <w:ind w:left="0" w:firstLine="0"/>
        <w:jc w:val="both"/>
        <w:rPr>
          <w:rFonts w:cs="Tahoma"/>
          <w:lang w:val="en-GB"/>
        </w:rPr>
      </w:pPr>
      <w:r w:rsidRPr="00FA7FE1">
        <w:rPr>
          <w:rFonts w:cs="Tahoma"/>
          <w:lang w:val="en-GB"/>
        </w:rPr>
        <w:t xml:space="preserve">As reported, in Working Group I, dealing with security issues, the exchanges focused on the situation on the ground and the </w:t>
      </w:r>
      <w:r w:rsidR="005172D1" w:rsidRPr="00FA7FE1">
        <w:rPr>
          <w:rFonts w:cs="Tahoma"/>
          <w:lang w:val="en-GB"/>
        </w:rPr>
        <w:t>worry</w:t>
      </w:r>
      <w:r w:rsidR="005172D1">
        <w:rPr>
          <w:rFonts w:cs="Tahoma"/>
          <w:lang w:val="en-GB"/>
        </w:rPr>
        <w:t>ing</w:t>
      </w:r>
      <w:r w:rsidRPr="00FA7FE1">
        <w:rPr>
          <w:rFonts w:cs="Tahoma"/>
          <w:lang w:val="en-GB"/>
        </w:rPr>
        <w:t xml:space="preserve"> developments of August 2019, in particular in the Chorchana–Tsnelisi area</w:t>
      </w:r>
      <w:r w:rsidR="002012DC" w:rsidRPr="00FA7FE1">
        <w:rPr>
          <w:rFonts w:cs="Tahoma"/>
          <w:lang w:val="en-GB"/>
        </w:rPr>
        <w:t xml:space="preserve">, as well as on various other issues, including extensive discussions on non-use of force and international security arrangements. </w:t>
      </w:r>
      <w:r w:rsidR="000C6B96" w:rsidRPr="00FA7FE1">
        <w:rPr>
          <w:rFonts w:cs="Tahoma"/>
          <w:lang w:val="en-GB"/>
        </w:rPr>
        <w:t>In Working Group II, dealing with humanitarian issues, discussions concentrated on the impact of restrictive measures on the freedom of movement and livelihoods of the conflict-affected population. The participants also discussed issues relating to missing persons, mobility, documentation, public health, education, cultural heritage and environmental challenges. As in previous rounds, it was not possible to address issues relating to internally displaced persons/refugees due to a walkout by some participants.</w:t>
      </w:r>
    </w:p>
    <w:p w14:paraId="496ECD7D" w14:textId="77777777" w:rsidR="00187653" w:rsidRPr="00FA7FE1" w:rsidRDefault="00187653" w:rsidP="00187653">
      <w:pPr>
        <w:keepNext/>
        <w:keepLines/>
        <w:jc w:val="both"/>
        <w:rPr>
          <w:rFonts w:cs="Tahoma"/>
          <w:lang w:val="en-GB"/>
        </w:rPr>
      </w:pPr>
    </w:p>
    <w:p w14:paraId="22BAB4B7" w14:textId="562A6BEF" w:rsidR="009A2AAC" w:rsidRPr="00FA7FE1" w:rsidRDefault="009A2AAC" w:rsidP="000C6B96">
      <w:pPr>
        <w:keepNext/>
        <w:keepLines/>
        <w:numPr>
          <w:ilvl w:val="0"/>
          <w:numId w:val="5"/>
        </w:numPr>
        <w:tabs>
          <w:tab w:val="clear" w:pos="360"/>
        </w:tabs>
        <w:ind w:left="0" w:firstLine="0"/>
        <w:jc w:val="both"/>
        <w:rPr>
          <w:rFonts w:cs="Tahoma"/>
          <w:lang w:val="en-GB"/>
        </w:rPr>
      </w:pPr>
      <w:r w:rsidRPr="00FA7FE1">
        <w:rPr>
          <w:rFonts w:cs="Tahoma"/>
          <w:lang w:val="en-GB"/>
        </w:rPr>
        <w:t xml:space="preserve">Representatives of the Georgian authorities met </w:t>
      </w:r>
      <w:r w:rsidR="00275061" w:rsidRPr="00FA7FE1">
        <w:rPr>
          <w:rFonts w:cs="Tahoma"/>
          <w:lang w:val="en-GB"/>
        </w:rPr>
        <w:t xml:space="preserve">by the delegation </w:t>
      </w:r>
      <w:r w:rsidRPr="00FA7FE1">
        <w:rPr>
          <w:rFonts w:cs="Tahoma"/>
          <w:lang w:val="en-GB"/>
        </w:rPr>
        <w:t xml:space="preserve">in Tbilisi strongly highlighted that the security situation in the territories adjacent to the Administrative Boundary Line </w:t>
      </w:r>
      <w:r w:rsidR="00A320CE" w:rsidRPr="00FA7FE1">
        <w:rPr>
          <w:rFonts w:cs="Tahoma"/>
          <w:lang w:val="en-GB"/>
        </w:rPr>
        <w:t xml:space="preserve">had been extremely fragile and tense, especially in terms of </w:t>
      </w:r>
      <w:r w:rsidR="00E03A25">
        <w:rPr>
          <w:rFonts w:cs="Tahoma"/>
          <w:lang w:val="en-GB"/>
        </w:rPr>
        <w:t>“</w:t>
      </w:r>
      <w:r w:rsidR="00A320CE" w:rsidRPr="00FA7FE1">
        <w:rPr>
          <w:rFonts w:cs="Tahoma"/>
          <w:lang w:val="en-GB"/>
        </w:rPr>
        <w:t>borderisation</w:t>
      </w:r>
      <w:r w:rsidR="00E03A25">
        <w:rPr>
          <w:rFonts w:cs="Tahoma"/>
          <w:lang w:val="en-GB"/>
        </w:rPr>
        <w:t>”</w:t>
      </w:r>
      <w:r w:rsidR="00A320CE" w:rsidRPr="00FA7FE1">
        <w:rPr>
          <w:rFonts w:cs="Tahoma"/>
          <w:lang w:val="en-GB"/>
        </w:rPr>
        <w:t xml:space="preserve"> activities, leading to the escalation and further deterioration of </w:t>
      </w:r>
      <w:r w:rsidR="00BD18E7" w:rsidRPr="00FA7FE1">
        <w:rPr>
          <w:rFonts w:cs="Tahoma"/>
          <w:lang w:val="en-GB"/>
        </w:rPr>
        <w:t xml:space="preserve">the </w:t>
      </w:r>
      <w:r w:rsidR="00A320CE" w:rsidRPr="00FA7FE1">
        <w:rPr>
          <w:rFonts w:cs="Tahoma"/>
          <w:lang w:val="en-GB"/>
        </w:rPr>
        <w:t xml:space="preserve">human rights situation for the local conflict-affected populations. </w:t>
      </w:r>
      <w:r w:rsidR="00BD18E7" w:rsidRPr="00FA7FE1">
        <w:rPr>
          <w:rFonts w:cs="Tahoma"/>
          <w:lang w:val="en-GB"/>
        </w:rPr>
        <w:t>Furthermore</w:t>
      </w:r>
      <w:r w:rsidR="00A320CE" w:rsidRPr="00FA7FE1">
        <w:rPr>
          <w:rFonts w:cs="Tahoma"/>
          <w:lang w:val="en-GB"/>
        </w:rPr>
        <w:t xml:space="preserve">, the Georgian interlocutors continue to point </w:t>
      </w:r>
      <w:r w:rsidR="00F51DF3">
        <w:rPr>
          <w:rFonts w:cs="Tahoma"/>
          <w:lang w:val="en-GB"/>
        </w:rPr>
        <w:t xml:space="preserve">to </w:t>
      </w:r>
      <w:r w:rsidR="00191B7E" w:rsidRPr="00FA7FE1">
        <w:rPr>
          <w:rFonts w:cs="Tahoma"/>
          <w:lang w:val="en-GB"/>
        </w:rPr>
        <w:t>several</w:t>
      </w:r>
      <w:r w:rsidR="00A320CE" w:rsidRPr="00FA7FE1">
        <w:rPr>
          <w:rFonts w:cs="Tahoma"/>
          <w:lang w:val="en-GB"/>
        </w:rPr>
        <w:t xml:space="preserve"> negative trends in terms of </w:t>
      </w:r>
      <w:r w:rsidR="00BD18E7" w:rsidRPr="00FA7FE1">
        <w:rPr>
          <w:rFonts w:cs="Tahoma"/>
          <w:lang w:val="en-GB"/>
        </w:rPr>
        <w:t xml:space="preserve">the </w:t>
      </w:r>
      <w:r w:rsidR="00A320CE" w:rsidRPr="00FA7FE1">
        <w:rPr>
          <w:rFonts w:cs="Tahoma"/>
          <w:lang w:val="en-GB"/>
        </w:rPr>
        <w:t xml:space="preserve">human rights situation in Abkhazia and South Ossetia affecting the </w:t>
      </w:r>
      <w:r w:rsidR="00275061" w:rsidRPr="00FA7FE1">
        <w:rPr>
          <w:rFonts w:cs="Tahoma"/>
          <w:lang w:val="en-GB"/>
        </w:rPr>
        <w:t xml:space="preserve">ethnic </w:t>
      </w:r>
      <w:r w:rsidR="00A320CE" w:rsidRPr="00FA7FE1">
        <w:rPr>
          <w:rFonts w:cs="Tahoma"/>
          <w:lang w:val="en-GB"/>
        </w:rPr>
        <w:t>Georgian population</w:t>
      </w:r>
      <w:r w:rsidR="00053CE3" w:rsidRPr="00FA7FE1">
        <w:rPr>
          <w:rFonts w:cs="Tahoma"/>
          <w:lang w:val="en-GB"/>
        </w:rPr>
        <w:t xml:space="preserve"> (cf. also Section III).</w:t>
      </w:r>
    </w:p>
    <w:p w14:paraId="333E31E5" w14:textId="77777777" w:rsidR="00187653" w:rsidRPr="00FA7FE1" w:rsidRDefault="00187653" w:rsidP="00187653">
      <w:pPr>
        <w:pStyle w:val="ListParagraph"/>
        <w:rPr>
          <w:rFonts w:cs="Tahoma"/>
          <w:lang w:val="en-GB"/>
        </w:rPr>
      </w:pPr>
    </w:p>
    <w:p w14:paraId="0E654372" w14:textId="740CDE8D" w:rsidR="001D7D6F" w:rsidRPr="00FA7FE1" w:rsidRDefault="001D7D6F">
      <w:pPr>
        <w:keepNext/>
        <w:keepLines/>
        <w:jc w:val="both"/>
        <w:rPr>
          <w:rFonts w:cs="Tahoma"/>
          <w:lang w:val="en-GB"/>
        </w:rPr>
      </w:pPr>
    </w:p>
    <w:p w14:paraId="75BFD71E" w14:textId="77777777" w:rsidR="00E64288" w:rsidRPr="00FA7FE1" w:rsidRDefault="00E64288" w:rsidP="00976CDB">
      <w:pPr>
        <w:keepNext/>
        <w:ind w:left="720" w:hanging="720"/>
        <w:jc w:val="both"/>
        <w:rPr>
          <w:rFonts w:cs="Tahoma"/>
          <w:i/>
          <w:lang w:val="en-GB"/>
        </w:rPr>
      </w:pPr>
      <w:r w:rsidRPr="00FA7FE1">
        <w:rPr>
          <w:rFonts w:cs="Tahoma"/>
          <w:i/>
          <w:lang w:val="en-GB"/>
        </w:rPr>
        <w:t>II</w:t>
      </w:r>
      <w:r w:rsidRPr="00FA7FE1">
        <w:rPr>
          <w:rFonts w:cs="Tahoma"/>
          <w:i/>
          <w:lang w:val="en-GB"/>
        </w:rPr>
        <w:tab/>
        <w:t>Assessment of statutory obligations and commitments related to the conflict and its consequences</w:t>
      </w:r>
    </w:p>
    <w:p w14:paraId="5BAC9215" w14:textId="77777777" w:rsidR="00E64288" w:rsidRPr="00FA7FE1" w:rsidRDefault="00E64288" w:rsidP="00976CDB">
      <w:pPr>
        <w:keepNext/>
        <w:tabs>
          <w:tab w:val="left" w:pos="720"/>
        </w:tabs>
        <w:jc w:val="both"/>
        <w:rPr>
          <w:rFonts w:cs="Tahoma"/>
          <w:lang w:val="en-GB" w:bidi="he-IL"/>
        </w:rPr>
      </w:pPr>
    </w:p>
    <w:p w14:paraId="066D16F5" w14:textId="77777777" w:rsidR="00E64288" w:rsidRPr="00FA7FE1" w:rsidRDefault="00E64288" w:rsidP="00976CDB">
      <w:pPr>
        <w:keepNext/>
        <w:numPr>
          <w:ilvl w:val="0"/>
          <w:numId w:val="5"/>
        </w:numPr>
        <w:tabs>
          <w:tab w:val="clear" w:pos="360"/>
          <w:tab w:val="num" w:pos="0"/>
        </w:tabs>
        <w:ind w:left="0" w:firstLine="0"/>
        <w:jc w:val="both"/>
        <w:rPr>
          <w:rFonts w:cs="Tahoma"/>
          <w:lang w:val="en-GB" w:bidi="he-IL"/>
        </w:rPr>
      </w:pPr>
      <w:r w:rsidRPr="00FA7FE1">
        <w:rPr>
          <w:rFonts w:cs="Tahoma"/>
          <w:lang w:val="en-GB"/>
        </w:rPr>
        <w:t>Below is an update on statutory obliga</w:t>
      </w:r>
      <w:r w:rsidR="003B25E3" w:rsidRPr="00FA7FE1">
        <w:rPr>
          <w:rFonts w:cs="Tahoma"/>
          <w:lang w:val="en-GB"/>
        </w:rPr>
        <w:t>tions and specific commitments –</w:t>
      </w:r>
      <w:r w:rsidRPr="00FA7FE1">
        <w:rPr>
          <w:rFonts w:cs="Tahoma"/>
          <w:lang w:val="en-GB"/>
        </w:rPr>
        <w:t xml:space="preserve"> as listed in PACE Opin</w:t>
      </w:r>
      <w:r w:rsidR="003B25E3" w:rsidRPr="00FA7FE1">
        <w:rPr>
          <w:rFonts w:cs="Tahoma"/>
          <w:lang w:val="en-GB"/>
        </w:rPr>
        <w:t>ions 193 (1996) and 209 (1999) –</w:t>
      </w:r>
      <w:r w:rsidRPr="00FA7FE1">
        <w:rPr>
          <w:rFonts w:cs="Tahoma"/>
          <w:lang w:val="en-GB"/>
        </w:rPr>
        <w:t xml:space="preserve"> which have been selected for the purpose of reporting on the conflict in Georgia and its consequences. This part builds on Part 1 of the first and second consolidated reports on the conflict in Georgia (</w:t>
      </w:r>
      <w:bookmarkStart w:id="2" w:name="_ML_000000000001_VALID"/>
      <w:r w:rsidR="00BC47C1" w:rsidRPr="00FA7FE1">
        <w:rPr>
          <w:rFonts w:cs="Tahoma"/>
          <w:lang w:val="en-GB"/>
        </w:rPr>
        <w:fldChar w:fldCharType="begin"/>
      </w:r>
      <w:r w:rsidR="00BC47C1" w:rsidRPr="00FA7FE1">
        <w:rPr>
          <w:rFonts w:cs="Tahoma"/>
          <w:lang w:val="en-GB"/>
        </w:rPr>
        <w:instrText xml:space="preserve"> HYPERLINK "https://search.coe.int/cm/Pages/result_details.aspx?Reference=SG/Inf(2010)8" \o "Consolidated report on the conflict in Georgia (October 2009 - March 2010)" </w:instrText>
      </w:r>
      <w:r w:rsidR="00BC47C1" w:rsidRPr="00FA7FE1">
        <w:rPr>
          <w:rFonts w:cs="Tahoma"/>
          <w:lang w:val="en-GB"/>
        </w:rPr>
        <w:fldChar w:fldCharType="separate"/>
      </w:r>
      <w:bookmarkEnd w:id="2"/>
      <w:r w:rsidR="00BC47C1" w:rsidRPr="00FA7FE1">
        <w:rPr>
          <w:rStyle w:val="Hyperlink"/>
          <w:rFonts w:cs="Tahoma"/>
          <w:lang w:val="en-GB"/>
        </w:rPr>
        <w:t>SG/Inf(2010)8</w:t>
      </w:r>
      <w:r w:rsidR="00BC47C1" w:rsidRPr="00FA7FE1">
        <w:rPr>
          <w:rFonts w:cs="Tahoma"/>
          <w:lang w:val="en-GB"/>
        </w:rPr>
        <w:fldChar w:fldCharType="end"/>
      </w:r>
      <w:r w:rsidRPr="00FA7FE1">
        <w:rPr>
          <w:rFonts w:cs="Tahoma"/>
          <w:lang w:val="en-GB"/>
        </w:rPr>
        <w:t xml:space="preserve"> and </w:t>
      </w:r>
      <w:bookmarkStart w:id="3" w:name="_ML_000000000002_PARTIAL"/>
      <w:r w:rsidR="00BC47C1" w:rsidRPr="00FA7FE1">
        <w:rPr>
          <w:rFonts w:cs="Tahoma"/>
          <w:lang w:val="en-GB"/>
        </w:rPr>
        <w:fldChar w:fldCharType="begin"/>
      </w:r>
      <w:r w:rsidR="00BC47C1" w:rsidRPr="00FA7FE1">
        <w:rPr>
          <w:rFonts w:cs="Tahoma"/>
          <w:lang w:val="en-GB"/>
        </w:rPr>
        <w:instrText xml:space="preserve"> HYPERLINK "https://search.coe.int/cm/Pages/result_details.aspx?Reference=SG/Inf(2010)19-final" </w:instrText>
      </w:r>
      <w:r w:rsidR="00BC47C1" w:rsidRPr="00FA7FE1">
        <w:rPr>
          <w:rFonts w:cs="Tahoma"/>
          <w:lang w:val="en-GB"/>
        </w:rPr>
        <w:fldChar w:fldCharType="separate"/>
      </w:r>
      <w:bookmarkEnd w:id="3"/>
      <w:r w:rsidR="00BC47C1" w:rsidRPr="00FA7FE1">
        <w:rPr>
          <w:rStyle w:val="Hyperlink"/>
          <w:rFonts w:cs="Tahoma"/>
          <w:lang w:val="en-GB"/>
        </w:rPr>
        <w:t>SG/Inf(2010)19-final</w:t>
      </w:r>
      <w:r w:rsidR="00BC47C1" w:rsidRPr="00FA7FE1">
        <w:rPr>
          <w:rFonts w:cs="Tahoma"/>
          <w:lang w:val="en-GB"/>
        </w:rPr>
        <w:fldChar w:fldCharType="end"/>
      </w:r>
      <w:r w:rsidRPr="00FA7FE1">
        <w:rPr>
          <w:rFonts w:cs="Tahoma"/>
          <w:lang w:val="en-GB"/>
        </w:rPr>
        <w:t>).</w:t>
      </w:r>
    </w:p>
    <w:p w14:paraId="22167AFD" w14:textId="77777777" w:rsidR="00E64288" w:rsidRPr="00FA7FE1" w:rsidRDefault="00E64288" w:rsidP="00976CDB">
      <w:pPr>
        <w:tabs>
          <w:tab w:val="left" w:pos="720"/>
        </w:tabs>
        <w:jc w:val="both"/>
        <w:rPr>
          <w:rFonts w:cs="Tahoma"/>
          <w:lang w:val="en-GB"/>
        </w:rPr>
      </w:pPr>
    </w:p>
    <w:p w14:paraId="53790869" w14:textId="77777777" w:rsidR="00E64288" w:rsidRPr="00FA7FE1" w:rsidRDefault="00E64288" w:rsidP="00976CDB">
      <w:pPr>
        <w:numPr>
          <w:ilvl w:val="0"/>
          <w:numId w:val="4"/>
        </w:numPr>
        <w:tabs>
          <w:tab w:val="clear" w:pos="1200"/>
          <w:tab w:val="num" w:pos="720"/>
        </w:tabs>
        <w:ind w:left="720"/>
        <w:jc w:val="both"/>
        <w:rPr>
          <w:rFonts w:cs="Tahoma"/>
          <w:i/>
          <w:lang w:val="en-GB"/>
        </w:rPr>
      </w:pPr>
      <w:r w:rsidRPr="00FA7FE1">
        <w:rPr>
          <w:rFonts w:cs="Tahoma"/>
          <w:i/>
          <w:lang w:val="en-GB"/>
        </w:rPr>
        <w:t>To accept the principles of the rule of law and of the enjoyment by all persons within its jurisdiction of human rights and fundamental freedoms, and to collaborate sincerely and effectively in the realisation of the aim of the Council of Europe</w:t>
      </w:r>
    </w:p>
    <w:p w14:paraId="65448F71" w14:textId="77777777" w:rsidR="00E64288" w:rsidRPr="00FA7FE1" w:rsidRDefault="00E64288" w:rsidP="00976CDB">
      <w:pPr>
        <w:jc w:val="both"/>
        <w:rPr>
          <w:rFonts w:cs="Tahoma"/>
          <w:i/>
          <w:lang w:val="en-GB"/>
        </w:rPr>
      </w:pPr>
    </w:p>
    <w:p w14:paraId="123FC017" w14:textId="77777777" w:rsidR="00E64288" w:rsidRPr="00FA7FE1" w:rsidRDefault="00E64288" w:rsidP="00976CDB">
      <w:pPr>
        <w:numPr>
          <w:ilvl w:val="0"/>
          <w:numId w:val="4"/>
        </w:numPr>
        <w:tabs>
          <w:tab w:val="clear" w:pos="1200"/>
          <w:tab w:val="num" w:pos="720"/>
        </w:tabs>
        <w:ind w:left="720"/>
        <w:jc w:val="both"/>
        <w:rPr>
          <w:rFonts w:cs="Tahoma"/>
          <w:i/>
          <w:lang w:val="en-GB"/>
        </w:rPr>
      </w:pPr>
      <w:r w:rsidRPr="00FA7FE1">
        <w:rPr>
          <w:rFonts w:cs="Tahoma"/>
          <w:i/>
          <w:lang w:val="en-GB"/>
        </w:rPr>
        <w:t xml:space="preserve">To settle international as well as internal disputes by peaceful means (an obligation incumbent upon all member </w:t>
      </w:r>
      <w:r w:rsidR="00E94C36" w:rsidRPr="00FA7FE1">
        <w:rPr>
          <w:rFonts w:cs="Tahoma"/>
          <w:i/>
          <w:lang w:val="en-GB"/>
        </w:rPr>
        <w:t>S</w:t>
      </w:r>
      <w:r w:rsidRPr="00FA7FE1">
        <w:rPr>
          <w:rFonts w:cs="Tahoma"/>
          <w:i/>
          <w:lang w:val="en-GB"/>
        </w:rPr>
        <w:t>tates of the Council of Europe), rejecting resolutely any forms of threats of force against its neighbours</w:t>
      </w:r>
    </w:p>
    <w:p w14:paraId="32B8E442" w14:textId="77777777" w:rsidR="00E64288" w:rsidRPr="00FA7FE1" w:rsidRDefault="00E64288" w:rsidP="00976CDB">
      <w:pPr>
        <w:autoSpaceDE w:val="0"/>
        <w:autoSpaceDN w:val="0"/>
        <w:adjustRightInd w:val="0"/>
        <w:jc w:val="both"/>
        <w:rPr>
          <w:rFonts w:cs="Tahoma"/>
          <w:lang w:val="en-GB"/>
        </w:rPr>
      </w:pPr>
    </w:p>
    <w:p w14:paraId="7A1990C3" w14:textId="0446FABF" w:rsidR="00C52558" w:rsidRPr="00FA7FE1" w:rsidRDefault="00C52558" w:rsidP="006F4242">
      <w:pPr>
        <w:numPr>
          <w:ilvl w:val="0"/>
          <w:numId w:val="5"/>
        </w:numPr>
        <w:tabs>
          <w:tab w:val="clear" w:pos="360"/>
          <w:tab w:val="num" w:pos="0"/>
          <w:tab w:val="num" w:pos="720"/>
        </w:tabs>
        <w:autoSpaceDE w:val="0"/>
        <w:autoSpaceDN w:val="0"/>
        <w:adjustRightInd w:val="0"/>
        <w:ind w:left="0" w:firstLine="0"/>
        <w:jc w:val="both"/>
        <w:rPr>
          <w:rFonts w:cs="Tahoma"/>
          <w:bCs/>
          <w:lang w:val="en-GB" w:eastAsia="en-GB"/>
        </w:rPr>
      </w:pPr>
      <w:r w:rsidRPr="00FA7FE1">
        <w:rPr>
          <w:rFonts w:cs="Tahoma"/>
          <w:bCs/>
          <w:lang w:val="en-GB" w:eastAsia="en-GB"/>
        </w:rPr>
        <w:t>The decision in the Inter-State application (II) No. 38263/08 relating to the 2008 conflict between Georgia and the Russian Federation and its aftermath is still pending following the Grand Chamber hearing on the merits in 2018</w:t>
      </w:r>
      <w:r w:rsidR="006F4242" w:rsidRPr="00FA7FE1">
        <w:rPr>
          <w:rFonts w:cs="Tahoma"/>
          <w:bCs/>
          <w:lang w:val="en-GB" w:eastAsia="en-GB"/>
        </w:rPr>
        <w:t xml:space="preserve">. </w:t>
      </w:r>
      <w:r w:rsidRPr="00FA7FE1">
        <w:rPr>
          <w:rFonts w:cs="Tahoma"/>
          <w:bCs/>
          <w:lang w:val="en-GB" w:eastAsia="en-GB"/>
        </w:rPr>
        <w:t xml:space="preserve">The consideration of Inter-State application (IV) 39611/18 lodged in August 2018 on the alleged deterioration of the human rights situation along the </w:t>
      </w:r>
      <w:r w:rsidR="00D52F94" w:rsidRPr="00FA7FE1">
        <w:rPr>
          <w:rFonts w:cs="Tahoma"/>
          <w:bCs/>
          <w:lang w:val="en-GB" w:eastAsia="en-GB"/>
        </w:rPr>
        <w:t>Administrative Boundary Line</w:t>
      </w:r>
      <w:r w:rsidRPr="00FA7FE1">
        <w:rPr>
          <w:rFonts w:cs="Tahoma"/>
          <w:bCs/>
          <w:lang w:val="en-GB" w:eastAsia="en-GB"/>
        </w:rPr>
        <w:t xml:space="preserve"> is underway.</w:t>
      </w:r>
    </w:p>
    <w:p w14:paraId="41D39269" w14:textId="77777777" w:rsidR="00C52558" w:rsidRPr="00FA7FE1" w:rsidRDefault="00C52558" w:rsidP="00CA7654">
      <w:pPr>
        <w:tabs>
          <w:tab w:val="num" w:pos="720"/>
        </w:tabs>
        <w:autoSpaceDE w:val="0"/>
        <w:autoSpaceDN w:val="0"/>
        <w:adjustRightInd w:val="0"/>
        <w:jc w:val="both"/>
        <w:rPr>
          <w:rFonts w:cs="Tahoma"/>
          <w:bCs/>
          <w:lang w:val="en-GB" w:eastAsia="en-GB"/>
        </w:rPr>
      </w:pPr>
    </w:p>
    <w:p w14:paraId="6CA48C80" w14:textId="6B3A138A" w:rsidR="006F4242" w:rsidRPr="00FA7FE1" w:rsidRDefault="006F4242" w:rsidP="006F4242">
      <w:pPr>
        <w:numPr>
          <w:ilvl w:val="0"/>
          <w:numId w:val="5"/>
        </w:numPr>
        <w:tabs>
          <w:tab w:val="clear" w:pos="360"/>
          <w:tab w:val="num" w:pos="0"/>
          <w:tab w:val="num" w:pos="720"/>
        </w:tabs>
        <w:autoSpaceDE w:val="0"/>
        <w:autoSpaceDN w:val="0"/>
        <w:adjustRightInd w:val="0"/>
        <w:ind w:left="0" w:firstLine="0"/>
        <w:jc w:val="both"/>
        <w:rPr>
          <w:rFonts w:cs="Tahoma"/>
          <w:bCs/>
          <w:lang w:val="en-GB" w:eastAsia="en-GB"/>
        </w:rPr>
      </w:pPr>
      <w:r w:rsidRPr="00FA7FE1">
        <w:rPr>
          <w:rFonts w:cs="Tahoma"/>
          <w:bCs/>
          <w:lang w:val="en-GB" w:eastAsia="en-GB"/>
        </w:rPr>
        <w:t>As regards individual cases related to the conflict, 435 applications against Georgia are still pending.</w:t>
      </w:r>
      <w:r w:rsidR="00D34BB1" w:rsidRPr="00FA7FE1">
        <w:rPr>
          <w:rStyle w:val="FootnoteReference"/>
          <w:rFonts w:cs="Tahoma"/>
          <w:bCs/>
          <w:lang w:val="en-GB" w:eastAsia="en-GB"/>
        </w:rPr>
        <w:footnoteReference w:id="5"/>
      </w:r>
      <w:r w:rsidR="00D34BB1" w:rsidRPr="00FA7FE1">
        <w:rPr>
          <w:rFonts w:cs="Tahoma"/>
          <w:bCs/>
          <w:lang w:val="en-GB" w:eastAsia="en-GB"/>
        </w:rPr>
        <w:t xml:space="preserve"> Furthermore, 21 of these applications were registered against both Georgia and the Russian Federation.</w:t>
      </w:r>
      <w:r w:rsidRPr="00FA7FE1">
        <w:rPr>
          <w:rFonts w:cs="Tahoma"/>
          <w:bCs/>
          <w:lang w:val="en-GB" w:eastAsia="en-GB"/>
        </w:rPr>
        <w:t xml:space="preserve"> </w:t>
      </w:r>
      <w:r w:rsidR="00D34BB1" w:rsidRPr="00FA7FE1">
        <w:rPr>
          <w:rFonts w:cs="Tahoma"/>
          <w:bCs/>
          <w:lang w:val="en-GB" w:eastAsia="en-GB"/>
        </w:rPr>
        <w:t>To date, the Court has also received 176 applications against the Russian Federation</w:t>
      </w:r>
      <w:r w:rsidR="00BD18E7" w:rsidRPr="00FA7FE1">
        <w:rPr>
          <w:rFonts w:cs="Tahoma"/>
          <w:bCs/>
          <w:lang w:val="en-GB" w:eastAsia="en-GB"/>
        </w:rPr>
        <w:t>.</w:t>
      </w:r>
      <w:r w:rsidR="00D34BB1" w:rsidRPr="00FA7FE1">
        <w:rPr>
          <w:rStyle w:val="FootnoteReference"/>
          <w:rFonts w:cs="Tahoma"/>
          <w:bCs/>
          <w:lang w:val="en-GB" w:eastAsia="en-GB"/>
        </w:rPr>
        <w:footnoteReference w:id="6"/>
      </w:r>
    </w:p>
    <w:p w14:paraId="76B3AA4F" w14:textId="77777777" w:rsidR="0041761B" w:rsidRPr="00FA7FE1" w:rsidRDefault="0041761B" w:rsidP="000F6D1F">
      <w:pPr>
        <w:tabs>
          <w:tab w:val="num" w:pos="720"/>
        </w:tabs>
        <w:autoSpaceDE w:val="0"/>
        <w:autoSpaceDN w:val="0"/>
        <w:adjustRightInd w:val="0"/>
        <w:jc w:val="both"/>
        <w:rPr>
          <w:rFonts w:cs="Tahoma"/>
          <w:bCs/>
          <w:lang w:val="en-GB" w:eastAsia="en-GB"/>
        </w:rPr>
      </w:pPr>
    </w:p>
    <w:p w14:paraId="6599869E" w14:textId="67ED641C" w:rsidR="006A5C82" w:rsidRPr="00FA7FE1" w:rsidRDefault="00D15D80" w:rsidP="004B51A2">
      <w:pPr>
        <w:numPr>
          <w:ilvl w:val="0"/>
          <w:numId w:val="5"/>
        </w:numPr>
        <w:tabs>
          <w:tab w:val="clear" w:pos="360"/>
          <w:tab w:val="num" w:pos="0"/>
          <w:tab w:val="num" w:pos="720"/>
        </w:tabs>
        <w:autoSpaceDE w:val="0"/>
        <w:autoSpaceDN w:val="0"/>
        <w:adjustRightInd w:val="0"/>
        <w:ind w:left="0" w:firstLine="0"/>
        <w:jc w:val="both"/>
        <w:rPr>
          <w:rFonts w:cs="Tahoma"/>
          <w:bCs/>
          <w:lang w:val="en-GB" w:eastAsia="en-GB"/>
        </w:rPr>
      </w:pPr>
      <w:r w:rsidRPr="00FA7FE1">
        <w:rPr>
          <w:rFonts w:cs="Tahoma"/>
          <w:bCs/>
          <w:lang w:val="en-GB" w:eastAsia="en-GB"/>
        </w:rPr>
        <w:t>T</w:t>
      </w:r>
      <w:r w:rsidR="00341178" w:rsidRPr="00FA7FE1">
        <w:rPr>
          <w:rFonts w:cs="Tahoma"/>
          <w:bCs/>
          <w:lang w:val="en-GB" w:eastAsia="en-GB"/>
        </w:rPr>
        <w:t xml:space="preserve">he investigation authorised by the International Criminal Court </w:t>
      </w:r>
      <w:r w:rsidR="00476091" w:rsidRPr="00FA7FE1">
        <w:rPr>
          <w:rFonts w:cs="Tahoma"/>
          <w:bCs/>
          <w:lang w:val="en-GB" w:eastAsia="en-GB"/>
        </w:rPr>
        <w:t xml:space="preserve">(ICC) </w:t>
      </w:r>
      <w:r w:rsidRPr="00FA7FE1">
        <w:rPr>
          <w:rFonts w:cs="Tahoma"/>
          <w:bCs/>
          <w:lang w:val="en-GB" w:eastAsia="en-GB"/>
        </w:rPr>
        <w:t>continued during the period under review</w:t>
      </w:r>
      <w:r w:rsidR="000B0812" w:rsidRPr="00FA7FE1">
        <w:rPr>
          <w:rFonts w:cs="Tahoma"/>
          <w:bCs/>
          <w:lang w:val="en-GB" w:eastAsia="en-GB"/>
        </w:rPr>
        <w:t>.</w:t>
      </w:r>
      <w:r w:rsidR="0033333B" w:rsidRPr="00FA7FE1">
        <w:rPr>
          <w:rFonts w:cs="Tahoma"/>
          <w:bCs/>
          <w:lang w:val="en-GB" w:eastAsia="en-GB"/>
        </w:rPr>
        <w:t xml:space="preserve"> </w:t>
      </w:r>
    </w:p>
    <w:p w14:paraId="4DCE4738" w14:textId="77777777" w:rsidR="006A5C82" w:rsidRPr="00FA7FE1" w:rsidRDefault="006A5C82" w:rsidP="000F6D1F">
      <w:pPr>
        <w:pStyle w:val="ListParagraph"/>
        <w:rPr>
          <w:rFonts w:cs="Tahoma"/>
          <w:bCs/>
          <w:lang w:val="en-GB" w:eastAsia="en-GB"/>
        </w:rPr>
      </w:pPr>
    </w:p>
    <w:p w14:paraId="7D8F17CA" w14:textId="2E0C945D" w:rsidR="00923688" w:rsidRPr="00FA7FE1" w:rsidRDefault="006A5C82" w:rsidP="004B51A2">
      <w:pPr>
        <w:numPr>
          <w:ilvl w:val="0"/>
          <w:numId w:val="5"/>
        </w:numPr>
        <w:tabs>
          <w:tab w:val="clear" w:pos="360"/>
          <w:tab w:val="num" w:pos="0"/>
          <w:tab w:val="num" w:pos="720"/>
        </w:tabs>
        <w:autoSpaceDE w:val="0"/>
        <w:autoSpaceDN w:val="0"/>
        <w:adjustRightInd w:val="0"/>
        <w:ind w:left="0" w:firstLine="0"/>
        <w:jc w:val="both"/>
        <w:rPr>
          <w:rFonts w:cs="Tahoma"/>
          <w:bCs/>
          <w:lang w:val="en-GB" w:eastAsia="en-GB"/>
        </w:rPr>
      </w:pPr>
      <w:r w:rsidRPr="00FA7FE1">
        <w:rPr>
          <w:rFonts w:cs="Tahoma"/>
          <w:bCs/>
          <w:lang w:val="en-GB" w:eastAsia="en-GB"/>
        </w:rPr>
        <w:t>In h</w:t>
      </w:r>
      <w:r w:rsidR="00243ACE" w:rsidRPr="00FA7FE1">
        <w:rPr>
          <w:rFonts w:cs="Tahoma"/>
          <w:bCs/>
          <w:lang w:val="en-GB" w:eastAsia="en-GB"/>
        </w:rPr>
        <w:t>er</w:t>
      </w:r>
      <w:r w:rsidRPr="00FA7FE1">
        <w:rPr>
          <w:rFonts w:cs="Tahoma"/>
          <w:bCs/>
          <w:lang w:val="en-GB" w:eastAsia="en-GB"/>
        </w:rPr>
        <w:t xml:space="preserve"> address to the UN General Assembly, on </w:t>
      </w:r>
      <w:r w:rsidR="00243ACE" w:rsidRPr="00FA7FE1">
        <w:rPr>
          <w:rFonts w:cs="Tahoma"/>
          <w:bCs/>
          <w:lang w:val="en-GB" w:eastAsia="en-GB"/>
        </w:rPr>
        <w:t xml:space="preserve">25 </w:t>
      </w:r>
      <w:r w:rsidRPr="00FA7FE1">
        <w:rPr>
          <w:rFonts w:cs="Tahoma"/>
          <w:bCs/>
          <w:lang w:val="en-GB" w:eastAsia="en-GB"/>
        </w:rPr>
        <w:t>September</w:t>
      </w:r>
      <w:r w:rsidR="00243ACE" w:rsidRPr="00FA7FE1">
        <w:rPr>
          <w:rFonts w:cs="Tahoma"/>
          <w:bCs/>
          <w:lang w:val="en-GB" w:eastAsia="en-GB"/>
        </w:rPr>
        <w:t xml:space="preserve"> 2019</w:t>
      </w:r>
      <w:r w:rsidRPr="00FA7FE1">
        <w:rPr>
          <w:rFonts w:cs="Tahoma"/>
          <w:bCs/>
          <w:lang w:val="en-GB" w:eastAsia="en-GB"/>
        </w:rPr>
        <w:t xml:space="preserve">, Georgian </w:t>
      </w:r>
      <w:r w:rsidR="00243ACE" w:rsidRPr="00FA7FE1">
        <w:rPr>
          <w:rFonts w:cs="Tahoma"/>
          <w:bCs/>
          <w:lang w:val="en-GB" w:eastAsia="en-GB"/>
        </w:rPr>
        <w:t xml:space="preserve">President </w:t>
      </w:r>
      <w:r w:rsidR="00243ACE" w:rsidRPr="00FA7FE1">
        <w:rPr>
          <w:rFonts w:eastAsia="Times New Roman" w:cs="Tahoma"/>
          <w:color w:val="333333"/>
          <w:lang w:val="en-GB" w:eastAsia="fr-FR"/>
        </w:rPr>
        <w:t>Zourabichvili</w:t>
      </w:r>
      <w:r w:rsidR="00243ACE" w:rsidRPr="00FA7FE1">
        <w:rPr>
          <w:rFonts w:cs="Tahoma"/>
          <w:bCs/>
          <w:lang w:val="en-GB" w:eastAsia="en-GB"/>
        </w:rPr>
        <w:t xml:space="preserve"> </w:t>
      </w:r>
      <w:r w:rsidRPr="00FA7FE1">
        <w:rPr>
          <w:rFonts w:cs="Tahoma"/>
          <w:bCs/>
          <w:lang w:val="en-GB" w:eastAsia="en-GB"/>
        </w:rPr>
        <w:t>reaffirmed h</w:t>
      </w:r>
      <w:r w:rsidR="00243ACE" w:rsidRPr="00FA7FE1">
        <w:rPr>
          <w:rFonts w:cs="Tahoma"/>
          <w:bCs/>
          <w:lang w:val="en-GB" w:eastAsia="en-GB"/>
        </w:rPr>
        <w:t>er</w:t>
      </w:r>
      <w:r w:rsidRPr="00FA7FE1">
        <w:rPr>
          <w:rFonts w:cs="Tahoma"/>
          <w:bCs/>
          <w:lang w:val="en-GB" w:eastAsia="en-GB"/>
        </w:rPr>
        <w:t xml:space="preserve"> country’s commitment to the peaceful resolution of the conflict and non-use of force.</w:t>
      </w:r>
      <w:r w:rsidR="00243ACE" w:rsidRPr="00FA7FE1">
        <w:rPr>
          <w:rFonts w:cs="Tahoma"/>
          <w:bCs/>
          <w:lang w:val="en-GB" w:eastAsia="en-GB"/>
        </w:rPr>
        <w:t xml:space="preserve"> A similar message was delivered in her address to the PACE </w:t>
      </w:r>
      <w:r w:rsidR="00923688" w:rsidRPr="00FA7FE1">
        <w:rPr>
          <w:rFonts w:cs="Tahoma"/>
          <w:bCs/>
          <w:lang w:val="en-GB" w:eastAsia="en-GB"/>
        </w:rPr>
        <w:t xml:space="preserve">on 28 January 2020, </w:t>
      </w:r>
      <w:r w:rsidR="001D7D6F" w:rsidRPr="00FA7FE1">
        <w:rPr>
          <w:rFonts w:cs="Tahoma"/>
          <w:bCs/>
          <w:lang w:val="en-GB" w:eastAsia="en-GB"/>
        </w:rPr>
        <w:t>notably citing as</w:t>
      </w:r>
      <w:r w:rsidR="00923688" w:rsidRPr="00FA7FE1">
        <w:rPr>
          <w:rFonts w:cs="Tahoma"/>
          <w:bCs/>
          <w:lang w:val="en-GB" w:eastAsia="en-GB"/>
        </w:rPr>
        <w:t xml:space="preserve"> </w:t>
      </w:r>
      <w:r w:rsidR="001D7D6F" w:rsidRPr="00FA7FE1">
        <w:rPr>
          <w:rFonts w:cs="Tahoma"/>
          <w:bCs/>
          <w:lang w:val="en-GB" w:eastAsia="en-GB"/>
        </w:rPr>
        <w:t>evidence</w:t>
      </w:r>
      <w:r w:rsidR="00923688" w:rsidRPr="00FA7FE1">
        <w:rPr>
          <w:rFonts w:cs="Tahoma"/>
          <w:bCs/>
          <w:lang w:val="en-GB" w:eastAsia="en-GB"/>
        </w:rPr>
        <w:t xml:space="preserve"> </w:t>
      </w:r>
      <w:r w:rsidR="00923688" w:rsidRPr="00FA7FE1">
        <w:rPr>
          <w:rFonts w:cs="Tahoma"/>
          <w:lang w:val="en-GB"/>
        </w:rPr>
        <w:t>Georgia</w:t>
      </w:r>
      <w:r w:rsidR="00BD18E7" w:rsidRPr="00FA7FE1">
        <w:rPr>
          <w:rFonts w:cs="Tahoma"/>
          <w:lang w:val="en-GB"/>
        </w:rPr>
        <w:t>’</w:t>
      </w:r>
      <w:r w:rsidR="00923688" w:rsidRPr="00FA7FE1">
        <w:rPr>
          <w:rFonts w:cs="Tahoma"/>
          <w:lang w:val="en-GB"/>
        </w:rPr>
        <w:t xml:space="preserve">s </w:t>
      </w:r>
      <w:r w:rsidR="00C62604" w:rsidRPr="00FA7FE1">
        <w:rPr>
          <w:rFonts w:cs="Tahoma"/>
          <w:lang w:val="en-GB"/>
        </w:rPr>
        <w:t xml:space="preserve">peace </w:t>
      </w:r>
      <w:r w:rsidR="00923688" w:rsidRPr="00FA7FE1">
        <w:rPr>
          <w:rFonts w:cs="Tahoma"/>
          <w:lang w:val="en-GB"/>
        </w:rPr>
        <w:t>initiative “A step to a better future</w:t>
      </w:r>
      <w:r w:rsidR="001D7D6F" w:rsidRPr="00FA7FE1">
        <w:rPr>
          <w:rFonts w:cs="Tahoma"/>
          <w:lang w:val="en-GB"/>
        </w:rPr>
        <w:t xml:space="preserve">” aimed </w:t>
      </w:r>
      <w:r w:rsidR="00923688" w:rsidRPr="00FA7FE1">
        <w:rPr>
          <w:rFonts w:cs="Tahoma"/>
          <w:lang w:val="en-GB"/>
        </w:rPr>
        <w:t>at improving the humanitarian and socio-economic conditions of people residing on the other side of the administrative line</w:t>
      </w:r>
      <w:r w:rsidR="001D7D6F" w:rsidRPr="00FA7FE1">
        <w:rPr>
          <w:rFonts w:cs="Tahoma"/>
          <w:lang w:val="en-GB"/>
        </w:rPr>
        <w:t>.</w:t>
      </w:r>
      <w:r w:rsidR="001D7D6F" w:rsidRPr="00FA7FE1">
        <w:rPr>
          <w:rStyle w:val="FootnoteReference"/>
          <w:rFonts w:cs="Tahoma"/>
          <w:lang w:val="en-GB"/>
        </w:rPr>
        <w:footnoteReference w:id="7"/>
      </w:r>
    </w:p>
    <w:p w14:paraId="7590A886" w14:textId="77777777" w:rsidR="00243ACE" w:rsidRPr="00FA7FE1" w:rsidRDefault="00243ACE" w:rsidP="004B51A2">
      <w:pPr>
        <w:tabs>
          <w:tab w:val="num" w:pos="720"/>
        </w:tabs>
        <w:autoSpaceDE w:val="0"/>
        <w:autoSpaceDN w:val="0"/>
        <w:adjustRightInd w:val="0"/>
        <w:jc w:val="both"/>
        <w:rPr>
          <w:rFonts w:cs="Tahoma"/>
          <w:bCs/>
          <w:lang w:val="en-GB" w:eastAsia="en-GB"/>
        </w:rPr>
      </w:pPr>
    </w:p>
    <w:p w14:paraId="499E1E88" w14:textId="77777777" w:rsidR="00E64288" w:rsidRPr="00FA7FE1" w:rsidRDefault="00E64288" w:rsidP="00976CDB">
      <w:pPr>
        <w:keepNext/>
        <w:numPr>
          <w:ilvl w:val="0"/>
          <w:numId w:val="4"/>
        </w:numPr>
        <w:tabs>
          <w:tab w:val="clear" w:pos="1200"/>
          <w:tab w:val="num" w:pos="720"/>
        </w:tabs>
        <w:ind w:left="720"/>
        <w:jc w:val="both"/>
        <w:rPr>
          <w:rFonts w:cs="Tahoma"/>
          <w:i/>
          <w:lang w:val="en-GB"/>
        </w:rPr>
      </w:pPr>
      <w:r w:rsidRPr="00FA7FE1">
        <w:rPr>
          <w:rFonts w:cs="Tahoma"/>
          <w:i/>
          <w:lang w:val="en-GB"/>
        </w:rPr>
        <w:lastRenderedPageBreak/>
        <w:t>To respect strictly the provisions of international humanitarian law, including in cases of armed conflict on its territory</w:t>
      </w:r>
    </w:p>
    <w:p w14:paraId="52061901" w14:textId="77777777" w:rsidR="00AB2E14" w:rsidRPr="00FA7FE1" w:rsidRDefault="00AB2E14" w:rsidP="00976CDB">
      <w:pPr>
        <w:keepNext/>
        <w:jc w:val="both"/>
        <w:rPr>
          <w:rFonts w:cs="Tahoma"/>
          <w:lang w:val="en-GB"/>
        </w:rPr>
      </w:pPr>
    </w:p>
    <w:p w14:paraId="4EFA0DC9" w14:textId="42730815" w:rsidR="007B3DCF" w:rsidRPr="00FA7FE1" w:rsidRDefault="00605317" w:rsidP="00F73D28">
      <w:pPr>
        <w:keepNext/>
        <w:numPr>
          <w:ilvl w:val="0"/>
          <w:numId w:val="5"/>
        </w:numPr>
        <w:tabs>
          <w:tab w:val="clear" w:pos="360"/>
        </w:tabs>
        <w:ind w:left="0" w:firstLine="0"/>
        <w:jc w:val="both"/>
        <w:rPr>
          <w:rFonts w:cs="Tahoma"/>
          <w:lang w:val="en-GB"/>
        </w:rPr>
      </w:pPr>
      <w:r w:rsidRPr="00FA7FE1">
        <w:rPr>
          <w:rFonts w:cs="Tahoma"/>
          <w:lang w:val="en-GB"/>
        </w:rPr>
        <w:t xml:space="preserve">On 14 October 2019, </w:t>
      </w:r>
      <w:r w:rsidR="007B3DCF" w:rsidRPr="00FA7FE1">
        <w:rPr>
          <w:rFonts w:cs="Tahoma"/>
          <w:lang w:val="en-GB"/>
        </w:rPr>
        <w:t xml:space="preserve">the Georgian government established by decree </w:t>
      </w:r>
      <w:r w:rsidR="00F73D28" w:rsidRPr="00FA7FE1">
        <w:rPr>
          <w:rFonts w:cs="Tahoma"/>
          <w:lang w:val="en-GB"/>
        </w:rPr>
        <w:t xml:space="preserve">an interagency commission tasked with the search and transfer of the remains of persons missing after armed conflicts. The commission comprises ten different agencies. </w:t>
      </w:r>
      <w:r w:rsidR="007B3DCF" w:rsidRPr="00FA7FE1">
        <w:rPr>
          <w:rFonts w:cs="Tahoma"/>
          <w:lang w:val="en-GB"/>
        </w:rPr>
        <w:t>The body is also mandated with providing support to the families of the missing persons.</w:t>
      </w:r>
      <w:r w:rsidR="001C078B" w:rsidRPr="00FA7FE1">
        <w:rPr>
          <w:rStyle w:val="FootnoteReference"/>
          <w:rFonts w:cs="Tahoma"/>
          <w:lang w:val="en-GB"/>
        </w:rPr>
        <w:footnoteReference w:id="8"/>
      </w:r>
    </w:p>
    <w:p w14:paraId="69EFAA5D" w14:textId="77777777" w:rsidR="001C078B" w:rsidRPr="00FA7FE1" w:rsidRDefault="001C078B" w:rsidP="00CA7654">
      <w:pPr>
        <w:keepNext/>
        <w:jc w:val="both"/>
        <w:rPr>
          <w:rFonts w:cs="Tahoma"/>
          <w:lang w:val="en-GB"/>
        </w:rPr>
      </w:pPr>
    </w:p>
    <w:p w14:paraId="64F9418A" w14:textId="61A7E472" w:rsidR="007D781D" w:rsidRPr="00FA7FE1" w:rsidRDefault="00341178" w:rsidP="002A3CE8">
      <w:pPr>
        <w:keepNext/>
        <w:numPr>
          <w:ilvl w:val="0"/>
          <w:numId w:val="5"/>
        </w:numPr>
        <w:tabs>
          <w:tab w:val="clear" w:pos="360"/>
        </w:tabs>
        <w:ind w:left="0" w:firstLine="0"/>
        <w:jc w:val="both"/>
        <w:rPr>
          <w:rFonts w:cs="Tahoma"/>
          <w:lang w:val="en-GB"/>
        </w:rPr>
      </w:pPr>
      <w:r w:rsidRPr="00FA7FE1">
        <w:rPr>
          <w:rFonts w:cs="Tahoma"/>
          <w:lang w:val="en-GB"/>
        </w:rPr>
        <w:t xml:space="preserve">The </w:t>
      </w:r>
      <w:r w:rsidR="00476091" w:rsidRPr="00FA7FE1">
        <w:rPr>
          <w:rFonts w:cs="Tahoma"/>
          <w:lang w:val="en-GB"/>
        </w:rPr>
        <w:t xml:space="preserve">International Committee of </w:t>
      </w:r>
      <w:r w:rsidR="003B5DE4" w:rsidRPr="00FA7FE1">
        <w:rPr>
          <w:rFonts w:cs="Tahoma"/>
          <w:lang w:val="en-GB"/>
        </w:rPr>
        <w:t xml:space="preserve">the </w:t>
      </w:r>
      <w:r w:rsidR="00476091" w:rsidRPr="00FA7FE1">
        <w:rPr>
          <w:rFonts w:cs="Tahoma"/>
          <w:lang w:val="en-GB"/>
        </w:rPr>
        <w:t>Red Cross (</w:t>
      </w:r>
      <w:r w:rsidRPr="00FA7FE1">
        <w:rPr>
          <w:rFonts w:cs="Tahoma"/>
          <w:lang w:val="en-GB"/>
        </w:rPr>
        <w:t>ICRC</w:t>
      </w:r>
      <w:r w:rsidR="00476091" w:rsidRPr="00FA7FE1">
        <w:rPr>
          <w:rFonts w:cs="Tahoma"/>
          <w:lang w:val="en-GB"/>
        </w:rPr>
        <w:t>)</w:t>
      </w:r>
      <w:r w:rsidR="009F18E5" w:rsidRPr="00FA7FE1">
        <w:rPr>
          <w:rFonts w:cs="Tahoma"/>
          <w:lang w:val="en-GB"/>
        </w:rPr>
        <w:t xml:space="preserve"> </w:t>
      </w:r>
      <w:r w:rsidR="00BF2CCE" w:rsidRPr="00FA7FE1">
        <w:rPr>
          <w:rFonts w:cs="Tahoma"/>
          <w:lang w:val="en-GB"/>
        </w:rPr>
        <w:t xml:space="preserve">has </w:t>
      </w:r>
      <w:r w:rsidR="00C77634" w:rsidRPr="00FA7FE1">
        <w:rPr>
          <w:rFonts w:cs="Tahoma"/>
          <w:lang w:val="en-GB"/>
        </w:rPr>
        <w:t>continued its activities in</w:t>
      </w:r>
      <w:r w:rsidR="00BF2CCE" w:rsidRPr="00FA7FE1">
        <w:rPr>
          <w:rFonts w:cs="Tahoma"/>
          <w:lang w:val="en-GB"/>
        </w:rPr>
        <w:t xml:space="preserve"> support </w:t>
      </w:r>
      <w:r w:rsidR="003B5DE4" w:rsidRPr="00FA7FE1">
        <w:rPr>
          <w:rFonts w:cs="Tahoma"/>
          <w:lang w:val="en-GB"/>
        </w:rPr>
        <w:t xml:space="preserve">of </w:t>
      </w:r>
      <w:r w:rsidR="00BF2CCE" w:rsidRPr="00FA7FE1">
        <w:rPr>
          <w:rFonts w:cs="Tahoma"/>
          <w:lang w:val="en-GB"/>
        </w:rPr>
        <w:t>efforts</w:t>
      </w:r>
      <w:r w:rsidRPr="00FA7FE1">
        <w:rPr>
          <w:rFonts w:cs="Tahoma"/>
          <w:lang w:val="en-GB"/>
        </w:rPr>
        <w:t xml:space="preserve"> </w:t>
      </w:r>
      <w:r w:rsidR="00C5519E" w:rsidRPr="00FA7FE1">
        <w:rPr>
          <w:rFonts w:cs="Tahoma"/>
          <w:lang w:val="en-GB"/>
        </w:rPr>
        <w:t>aimed at</w:t>
      </w:r>
      <w:r w:rsidR="0062519B" w:rsidRPr="00FA7FE1">
        <w:rPr>
          <w:rFonts w:cs="Tahoma"/>
          <w:lang w:val="en-GB"/>
        </w:rPr>
        <w:t xml:space="preserve"> </w:t>
      </w:r>
      <w:r w:rsidR="00BF2CCE" w:rsidRPr="00FA7FE1">
        <w:rPr>
          <w:rFonts w:cs="Tahoma"/>
          <w:lang w:val="en-GB"/>
        </w:rPr>
        <w:t>ascertain</w:t>
      </w:r>
      <w:r w:rsidR="00C5519E" w:rsidRPr="00FA7FE1">
        <w:rPr>
          <w:rFonts w:cs="Tahoma"/>
          <w:lang w:val="en-GB"/>
        </w:rPr>
        <w:t>ing</w:t>
      </w:r>
      <w:r w:rsidRPr="00FA7FE1">
        <w:rPr>
          <w:rFonts w:cs="Tahoma"/>
          <w:lang w:val="en-GB"/>
        </w:rPr>
        <w:t xml:space="preserve"> the fate </w:t>
      </w:r>
      <w:r w:rsidR="00A004BC" w:rsidRPr="00FA7FE1">
        <w:rPr>
          <w:rFonts w:cs="Tahoma"/>
          <w:lang w:val="en-GB"/>
        </w:rPr>
        <w:t xml:space="preserve">and whereabouts </w:t>
      </w:r>
      <w:r w:rsidR="00252938" w:rsidRPr="00FA7FE1">
        <w:rPr>
          <w:rFonts w:cs="Tahoma"/>
          <w:lang w:val="en-GB"/>
        </w:rPr>
        <w:t>of</w:t>
      </w:r>
      <w:r w:rsidRPr="00FA7FE1">
        <w:rPr>
          <w:rFonts w:cs="Tahoma"/>
          <w:lang w:val="en-GB"/>
        </w:rPr>
        <w:t xml:space="preserve"> persons</w:t>
      </w:r>
      <w:r w:rsidR="009F18E5" w:rsidRPr="00FA7FE1">
        <w:rPr>
          <w:rFonts w:cs="Tahoma"/>
          <w:lang w:val="en-GB"/>
        </w:rPr>
        <w:t xml:space="preserve"> </w:t>
      </w:r>
      <w:r w:rsidR="00A004BC" w:rsidRPr="00FA7FE1">
        <w:rPr>
          <w:rFonts w:cs="Tahoma"/>
          <w:lang w:val="en-GB"/>
        </w:rPr>
        <w:t>unaccounted for</w:t>
      </w:r>
      <w:r w:rsidR="00252938" w:rsidRPr="00FA7FE1">
        <w:rPr>
          <w:rFonts w:cs="Tahoma"/>
          <w:lang w:val="en-GB"/>
        </w:rPr>
        <w:t xml:space="preserve"> as a result of the armed conflict</w:t>
      </w:r>
      <w:r w:rsidR="00A004BC" w:rsidRPr="00FA7FE1">
        <w:rPr>
          <w:rFonts w:cs="Tahoma"/>
          <w:lang w:val="en-GB"/>
        </w:rPr>
        <w:t>s</w:t>
      </w:r>
      <w:r w:rsidR="00252938" w:rsidRPr="00FA7FE1">
        <w:rPr>
          <w:rFonts w:cs="Tahoma"/>
          <w:lang w:val="en-GB"/>
        </w:rPr>
        <w:t xml:space="preserve"> </w:t>
      </w:r>
      <w:r w:rsidR="003B5DE4" w:rsidRPr="00FA7FE1">
        <w:rPr>
          <w:rFonts w:cs="Tahoma"/>
          <w:lang w:val="en-GB"/>
        </w:rPr>
        <w:t>and alleviating</w:t>
      </w:r>
      <w:r w:rsidR="00CD0130" w:rsidRPr="00FA7FE1">
        <w:rPr>
          <w:rFonts w:cs="Tahoma"/>
          <w:lang w:val="en-GB"/>
        </w:rPr>
        <w:t xml:space="preserve"> the plight of their families. </w:t>
      </w:r>
      <w:r w:rsidR="00053CE3" w:rsidRPr="00FA7FE1">
        <w:rPr>
          <w:rFonts w:cs="Tahoma"/>
          <w:lang w:val="en-GB"/>
        </w:rPr>
        <w:t>Regarding Abkhazia, a</w:t>
      </w:r>
      <w:r w:rsidR="003B2762" w:rsidRPr="00FA7FE1">
        <w:rPr>
          <w:rFonts w:cs="Tahoma"/>
          <w:lang w:val="en-GB"/>
        </w:rPr>
        <w:t xml:space="preserve"> meeting of the Forensic Working Group (under the </w:t>
      </w:r>
      <w:r w:rsidR="00A004BC" w:rsidRPr="00FA7FE1">
        <w:rPr>
          <w:rFonts w:cs="Tahoma"/>
          <w:i/>
          <w:lang w:val="en-GB"/>
        </w:rPr>
        <w:t>Tripartite Coordination Mechanism</w:t>
      </w:r>
      <w:r w:rsidR="00A004BC" w:rsidRPr="00FA7FE1">
        <w:rPr>
          <w:rFonts w:cs="Tahoma"/>
          <w:iCs/>
          <w:lang w:val="en-GB"/>
        </w:rPr>
        <w:t xml:space="preserve">) was held </w:t>
      </w:r>
      <w:r w:rsidR="006111ED" w:rsidRPr="00FA7FE1">
        <w:rPr>
          <w:rFonts w:cs="Tahoma"/>
          <w:iCs/>
          <w:lang w:val="en-GB"/>
        </w:rPr>
        <w:t>during the period under review and additional burial sites were processed, leading to the further exhumation of human remains</w:t>
      </w:r>
      <w:r w:rsidR="00A004BC" w:rsidRPr="00FA7FE1">
        <w:rPr>
          <w:rFonts w:cs="Tahoma"/>
          <w:iCs/>
          <w:lang w:val="en-GB"/>
        </w:rPr>
        <w:t>.</w:t>
      </w:r>
      <w:r w:rsidR="006111ED" w:rsidRPr="00FA7FE1">
        <w:rPr>
          <w:rFonts w:cs="Tahoma"/>
          <w:iCs/>
          <w:lang w:val="en-GB"/>
        </w:rPr>
        <w:t xml:space="preserve"> </w:t>
      </w:r>
      <w:r w:rsidR="00C75CBD" w:rsidRPr="00FA7FE1">
        <w:rPr>
          <w:rFonts w:cs="Tahoma"/>
          <w:lang w:val="en-GB"/>
        </w:rPr>
        <w:t>The ICRC also continued to accompany the families of missing persons through a series of activities and program</w:t>
      </w:r>
      <w:r w:rsidR="00BD18E7" w:rsidRPr="00FA7FE1">
        <w:rPr>
          <w:rFonts w:cs="Tahoma"/>
          <w:lang w:val="en-GB"/>
        </w:rPr>
        <w:t>me</w:t>
      </w:r>
      <w:r w:rsidR="00C75CBD" w:rsidRPr="00FA7FE1">
        <w:rPr>
          <w:rFonts w:cs="Tahoma"/>
          <w:lang w:val="en-GB"/>
        </w:rPr>
        <w:t xml:space="preserve">s. </w:t>
      </w:r>
      <w:r w:rsidR="00DB4CC3" w:rsidRPr="00FA7FE1">
        <w:rPr>
          <w:rFonts w:cs="Tahoma"/>
          <w:lang w:val="en-GB"/>
        </w:rPr>
        <w:t xml:space="preserve">As regards South Ossetia, </w:t>
      </w:r>
      <w:r w:rsidR="00BF2CCE" w:rsidRPr="00FA7FE1">
        <w:rPr>
          <w:rFonts w:cs="Tahoma"/>
          <w:lang w:val="en-GB"/>
        </w:rPr>
        <w:t xml:space="preserve">the </w:t>
      </w:r>
      <w:r w:rsidRPr="00FA7FE1">
        <w:rPr>
          <w:rFonts w:cs="Tahoma"/>
          <w:lang w:val="en-GB"/>
        </w:rPr>
        <w:t>ICRC</w:t>
      </w:r>
      <w:r w:rsidR="00644973" w:rsidRPr="00FA7FE1">
        <w:rPr>
          <w:rFonts w:cs="Tahoma"/>
          <w:lang w:val="en-GB"/>
        </w:rPr>
        <w:t xml:space="preserve"> </w:t>
      </w:r>
      <w:r w:rsidR="00605317" w:rsidRPr="00FA7FE1">
        <w:rPr>
          <w:rFonts w:cs="Tahoma"/>
          <w:lang w:val="en-GB"/>
        </w:rPr>
        <w:t xml:space="preserve">also </w:t>
      </w:r>
      <w:r w:rsidR="00644973" w:rsidRPr="00FA7FE1">
        <w:rPr>
          <w:rFonts w:cs="Tahoma"/>
          <w:lang w:val="en-GB"/>
        </w:rPr>
        <w:t>remains engaged i</w:t>
      </w:r>
      <w:r w:rsidR="00BF2CCE" w:rsidRPr="00FA7FE1">
        <w:rPr>
          <w:rFonts w:cs="Tahoma"/>
          <w:lang w:val="en-GB"/>
        </w:rPr>
        <w:t xml:space="preserve">n </w:t>
      </w:r>
      <w:r w:rsidR="00DB4CC3" w:rsidRPr="00FA7FE1">
        <w:rPr>
          <w:rFonts w:cs="Tahoma"/>
          <w:lang w:val="en-GB"/>
        </w:rPr>
        <w:t>re-establishing family links, visiting prisoners and facilitating emergency medical evacuations</w:t>
      </w:r>
      <w:r w:rsidR="00605317" w:rsidRPr="00FA7FE1">
        <w:rPr>
          <w:rFonts w:cs="Tahoma"/>
          <w:lang w:val="en-GB"/>
        </w:rPr>
        <w:t xml:space="preserve"> and assistance to the vulnerable population</w:t>
      </w:r>
      <w:r w:rsidRPr="00FA7FE1">
        <w:rPr>
          <w:rFonts w:cs="Tahoma"/>
          <w:lang w:val="en-GB"/>
        </w:rPr>
        <w:t>.</w:t>
      </w:r>
    </w:p>
    <w:p w14:paraId="4954409F" w14:textId="77777777" w:rsidR="004B4D23" w:rsidRPr="00FA7FE1" w:rsidRDefault="004B4D23" w:rsidP="00976CDB">
      <w:pPr>
        <w:jc w:val="both"/>
        <w:rPr>
          <w:rFonts w:cs="Tahoma"/>
          <w:lang w:val="en-GB"/>
        </w:rPr>
      </w:pPr>
    </w:p>
    <w:p w14:paraId="403FE668" w14:textId="77777777" w:rsidR="00E64288" w:rsidRPr="00FA7FE1" w:rsidRDefault="00E64288" w:rsidP="00976CDB">
      <w:pPr>
        <w:numPr>
          <w:ilvl w:val="0"/>
          <w:numId w:val="4"/>
        </w:numPr>
        <w:tabs>
          <w:tab w:val="clear" w:pos="1200"/>
          <w:tab w:val="num" w:pos="720"/>
        </w:tabs>
        <w:ind w:left="720"/>
        <w:jc w:val="both"/>
        <w:rPr>
          <w:rFonts w:cs="Tahoma"/>
          <w:i/>
          <w:lang w:val="en-GB"/>
        </w:rPr>
      </w:pPr>
      <w:r w:rsidRPr="00FA7FE1">
        <w:rPr>
          <w:rFonts w:cs="Tahoma"/>
          <w:i/>
          <w:lang w:val="en-GB"/>
        </w:rPr>
        <w:t>To co-operate in good faith with international humanitarian organisations and to enable them to carry out their activities on its territory in conformity with their mandates</w:t>
      </w:r>
    </w:p>
    <w:p w14:paraId="6E770B08" w14:textId="77777777" w:rsidR="00E64288" w:rsidRPr="00FA7FE1" w:rsidRDefault="00E64288" w:rsidP="00976CDB">
      <w:pPr>
        <w:jc w:val="both"/>
        <w:rPr>
          <w:rFonts w:cs="Tahoma"/>
          <w:i/>
          <w:lang w:val="en-GB"/>
        </w:rPr>
      </w:pPr>
    </w:p>
    <w:p w14:paraId="67EF1748" w14:textId="77777777" w:rsidR="00E64288" w:rsidRPr="00FA7FE1" w:rsidRDefault="00E64288" w:rsidP="00976CDB">
      <w:pPr>
        <w:numPr>
          <w:ilvl w:val="0"/>
          <w:numId w:val="4"/>
        </w:numPr>
        <w:tabs>
          <w:tab w:val="clear" w:pos="1200"/>
          <w:tab w:val="num" w:pos="720"/>
        </w:tabs>
        <w:ind w:left="720"/>
        <w:jc w:val="both"/>
        <w:rPr>
          <w:rFonts w:cs="Tahoma"/>
          <w:i/>
          <w:lang w:val="en-GB"/>
        </w:rPr>
      </w:pPr>
      <w:r w:rsidRPr="00FA7FE1">
        <w:rPr>
          <w:rFonts w:cs="Tahoma"/>
          <w:i/>
          <w:lang w:val="en-GB"/>
        </w:rPr>
        <w:t>To facilitate the delivery of humanitarian aid to the most vulnerable groups of the population affected by the consequences of the conflict</w:t>
      </w:r>
    </w:p>
    <w:p w14:paraId="5A5D1C37" w14:textId="77777777" w:rsidR="00677E1F" w:rsidRPr="00FA7FE1" w:rsidRDefault="00677E1F" w:rsidP="000F6D1F">
      <w:pPr>
        <w:keepNext/>
        <w:keepLines/>
        <w:jc w:val="both"/>
        <w:rPr>
          <w:rFonts w:cs="Tahoma"/>
          <w:lang w:val="en-GB"/>
        </w:rPr>
      </w:pPr>
    </w:p>
    <w:p w14:paraId="41105BDF" w14:textId="4792AA8F" w:rsidR="00316BBC" w:rsidRPr="00FA7FE1" w:rsidRDefault="00902A4D" w:rsidP="000F6D1F">
      <w:pPr>
        <w:numPr>
          <w:ilvl w:val="0"/>
          <w:numId w:val="5"/>
        </w:numPr>
        <w:tabs>
          <w:tab w:val="clear" w:pos="360"/>
        </w:tabs>
        <w:ind w:left="0" w:firstLine="0"/>
        <w:jc w:val="both"/>
        <w:rPr>
          <w:bCs/>
          <w:lang w:val="en-GB"/>
        </w:rPr>
      </w:pPr>
      <w:r w:rsidRPr="00FA7FE1">
        <w:rPr>
          <w:bCs/>
          <w:lang w:val="en-GB"/>
        </w:rPr>
        <w:t>T</w:t>
      </w:r>
      <w:r w:rsidR="00BC1DB3" w:rsidRPr="00FA7FE1">
        <w:rPr>
          <w:bCs/>
          <w:lang w:val="en-GB"/>
        </w:rPr>
        <w:t>he delegation was informed</w:t>
      </w:r>
      <w:r w:rsidR="00A34E36" w:rsidRPr="00FA7FE1">
        <w:rPr>
          <w:bCs/>
          <w:lang w:val="en-GB"/>
        </w:rPr>
        <w:t xml:space="preserve"> that t</w:t>
      </w:r>
      <w:r w:rsidR="00A34E36" w:rsidRPr="00FA7FE1">
        <w:rPr>
          <w:lang w:val="en-GB"/>
        </w:rPr>
        <w:t xml:space="preserve">he </w:t>
      </w:r>
      <w:r w:rsidR="001A1F9A" w:rsidRPr="00FA7FE1">
        <w:rPr>
          <w:lang w:val="en-GB"/>
        </w:rPr>
        <w:t>g</w:t>
      </w:r>
      <w:r w:rsidR="00A34E36" w:rsidRPr="00FA7FE1">
        <w:rPr>
          <w:lang w:val="en-GB"/>
        </w:rPr>
        <w:t xml:space="preserve">overnment’s peace initiative </w:t>
      </w:r>
      <w:r w:rsidR="001A1F9A" w:rsidRPr="00FA7FE1">
        <w:rPr>
          <w:lang w:val="en-GB"/>
        </w:rPr>
        <w:t>“</w:t>
      </w:r>
      <w:r w:rsidR="00A34E36" w:rsidRPr="00FA7FE1">
        <w:rPr>
          <w:i/>
          <w:lang w:val="en-GB"/>
        </w:rPr>
        <w:t>Step to a Better Future”</w:t>
      </w:r>
      <w:r w:rsidR="00A34E36" w:rsidRPr="00FA7FE1">
        <w:rPr>
          <w:lang w:val="en-GB"/>
        </w:rPr>
        <w:t xml:space="preserve">, aimed at promoting dialogue and reconciliation through facilitation of trade, education and mobility opportunities, including through status-neutral solutions, </w:t>
      </w:r>
      <w:r w:rsidR="00FA365D" w:rsidRPr="00FA7FE1">
        <w:rPr>
          <w:lang w:val="en-GB"/>
        </w:rPr>
        <w:t>wa</w:t>
      </w:r>
      <w:r w:rsidR="00A34E36" w:rsidRPr="00FA7FE1">
        <w:rPr>
          <w:lang w:val="en-GB"/>
        </w:rPr>
        <w:t xml:space="preserve">s expected to be fully operational by </w:t>
      </w:r>
      <w:r w:rsidR="00FA365D" w:rsidRPr="00FA7FE1">
        <w:rPr>
          <w:lang w:val="en-GB"/>
        </w:rPr>
        <w:t>February</w:t>
      </w:r>
      <w:r w:rsidR="001E3941" w:rsidRPr="00FA7FE1">
        <w:rPr>
          <w:bCs/>
          <w:lang w:val="en-GB"/>
        </w:rPr>
        <w:t xml:space="preserve">. </w:t>
      </w:r>
      <w:r w:rsidR="00FA365D" w:rsidRPr="00FA7FE1">
        <w:rPr>
          <w:bCs/>
          <w:lang w:val="en-GB"/>
        </w:rPr>
        <w:t>The government is hoping to mobilise international support for this financial mechanism, established in August 2019 as a private fund.</w:t>
      </w:r>
    </w:p>
    <w:p w14:paraId="5C3E9AAC" w14:textId="77777777" w:rsidR="000F6D1F" w:rsidRPr="00FA7FE1" w:rsidRDefault="000F6D1F" w:rsidP="004B51A2">
      <w:pPr>
        <w:jc w:val="both"/>
        <w:rPr>
          <w:bCs/>
          <w:lang w:val="en-GB"/>
        </w:rPr>
      </w:pPr>
    </w:p>
    <w:p w14:paraId="2BA15773" w14:textId="126034FB" w:rsidR="00FA365D" w:rsidRPr="00FA7FE1" w:rsidRDefault="00FA365D" w:rsidP="000F6D1F">
      <w:pPr>
        <w:numPr>
          <w:ilvl w:val="0"/>
          <w:numId w:val="5"/>
        </w:numPr>
        <w:tabs>
          <w:tab w:val="clear" w:pos="360"/>
        </w:tabs>
        <w:ind w:left="0" w:firstLine="0"/>
        <w:jc w:val="both"/>
        <w:rPr>
          <w:rFonts w:cs="Tahoma"/>
          <w:bCs/>
          <w:lang w:val="en-GB"/>
        </w:rPr>
      </w:pPr>
      <w:r w:rsidRPr="00FA7FE1">
        <w:rPr>
          <w:bCs/>
          <w:lang w:val="en-GB"/>
        </w:rPr>
        <w:t>In the meantime</w:t>
      </w:r>
      <w:r w:rsidR="00316BBC" w:rsidRPr="00FA7FE1">
        <w:rPr>
          <w:bCs/>
          <w:lang w:val="en-GB"/>
        </w:rPr>
        <w:t xml:space="preserve">, the Georgian Government continues to make available </w:t>
      </w:r>
      <w:r w:rsidR="00644973" w:rsidRPr="00FA7FE1">
        <w:rPr>
          <w:bCs/>
          <w:lang w:val="en-GB"/>
        </w:rPr>
        <w:t xml:space="preserve">free </w:t>
      </w:r>
      <w:r w:rsidR="00316BBC" w:rsidRPr="00FA7FE1">
        <w:rPr>
          <w:bCs/>
          <w:lang w:val="en-GB"/>
        </w:rPr>
        <w:t>access to h</w:t>
      </w:r>
      <w:r w:rsidR="00AA11C5" w:rsidRPr="00FA7FE1">
        <w:rPr>
          <w:bCs/>
          <w:lang w:val="en-GB"/>
        </w:rPr>
        <w:t>ealth</w:t>
      </w:r>
      <w:r w:rsidR="00BD18E7" w:rsidRPr="00FA7FE1">
        <w:rPr>
          <w:bCs/>
          <w:lang w:val="en-GB"/>
        </w:rPr>
        <w:t xml:space="preserve"> </w:t>
      </w:r>
      <w:r w:rsidR="00AA11C5" w:rsidRPr="00FA7FE1">
        <w:rPr>
          <w:bCs/>
          <w:lang w:val="en-GB"/>
        </w:rPr>
        <w:t>care</w:t>
      </w:r>
      <w:r w:rsidR="006B1138" w:rsidRPr="00FA7FE1">
        <w:rPr>
          <w:bCs/>
          <w:lang w:val="en-GB"/>
        </w:rPr>
        <w:t>,</w:t>
      </w:r>
      <w:r w:rsidR="00AA11C5" w:rsidRPr="00FA7FE1">
        <w:rPr>
          <w:bCs/>
          <w:lang w:val="en-GB"/>
        </w:rPr>
        <w:t xml:space="preserve"> </w:t>
      </w:r>
      <w:r w:rsidR="00316BBC" w:rsidRPr="00FA7FE1">
        <w:rPr>
          <w:bCs/>
          <w:lang w:val="en-GB"/>
        </w:rPr>
        <w:t xml:space="preserve">education </w:t>
      </w:r>
      <w:r w:rsidR="00D8248E" w:rsidRPr="00FA7FE1">
        <w:rPr>
          <w:bCs/>
          <w:lang w:val="en-GB"/>
        </w:rPr>
        <w:t>and other social benefits</w:t>
      </w:r>
      <w:r w:rsidR="001E3941" w:rsidRPr="00FA7FE1">
        <w:rPr>
          <w:bCs/>
          <w:lang w:val="en-GB"/>
        </w:rPr>
        <w:t xml:space="preserve"> </w:t>
      </w:r>
      <w:r w:rsidR="00316BBC" w:rsidRPr="00FA7FE1">
        <w:rPr>
          <w:bCs/>
          <w:lang w:val="en-GB"/>
        </w:rPr>
        <w:t>for all residents of Abkhazia and South Ossetia</w:t>
      </w:r>
      <w:r w:rsidR="00D8248E" w:rsidRPr="00FA7FE1">
        <w:rPr>
          <w:bCs/>
          <w:lang w:val="en-GB"/>
        </w:rPr>
        <w:t>.</w:t>
      </w:r>
      <w:r w:rsidR="001E3941" w:rsidRPr="00FA7FE1">
        <w:rPr>
          <w:bCs/>
          <w:lang w:val="en-GB"/>
        </w:rPr>
        <w:t xml:space="preserve"> </w:t>
      </w:r>
      <w:r w:rsidRPr="00FA7FE1">
        <w:rPr>
          <w:bCs/>
          <w:lang w:val="en-GB"/>
        </w:rPr>
        <w:t xml:space="preserve">A new </w:t>
      </w:r>
      <w:r w:rsidR="00002177" w:rsidRPr="00FA7FE1">
        <w:rPr>
          <w:rFonts w:cstheme="minorHAnsi"/>
          <w:lang w:val="en-GB"/>
        </w:rPr>
        <w:t>“Post-School Education Preparation Program</w:t>
      </w:r>
      <w:r w:rsidR="00BD18E7" w:rsidRPr="00FA7FE1">
        <w:rPr>
          <w:rFonts w:cstheme="minorHAnsi"/>
          <w:lang w:val="en-GB"/>
        </w:rPr>
        <w:t>me</w:t>
      </w:r>
      <w:r w:rsidR="00002177" w:rsidRPr="00FA7FE1">
        <w:rPr>
          <w:rFonts w:cstheme="minorHAnsi"/>
          <w:lang w:val="en-GB"/>
        </w:rPr>
        <w:t>”</w:t>
      </w:r>
      <w:r w:rsidR="00002177" w:rsidRPr="00FA7FE1">
        <w:rPr>
          <w:rFonts w:cstheme="minorHAnsi"/>
          <w:sz w:val="20"/>
          <w:szCs w:val="20"/>
          <w:lang w:val="en-GB"/>
        </w:rPr>
        <w:t xml:space="preserve"> </w:t>
      </w:r>
      <w:r w:rsidRPr="00FA7FE1">
        <w:rPr>
          <w:bCs/>
          <w:lang w:val="en-GB"/>
        </w:rPr>
        <w:t xml:space="preserve">accessible without entry exam was </w:t>
      </w:r>
      <w:r w:rsidR="001F1F32" w:rsidRPr="00FA7FE1">
        <w:rPr>
          <w:bCs/>
          <w:lang w:val="en-GB"/>
        </w:rPr>
        <w:t xml:space="preserve">recently </w:t>
      </w:r>
      <w:r w:rsidRPr="00FA7FE1">
        <w:rPr>
          <w:bCs/>
          <w:lang w:val="en-GB"/>
        </w:rPr>
        <w:t>established.</w:t>
      </w:r>
      <w:r w:rsidR="00A737DE" w:rsidRPr="00FA7FE1">
        <w:rPr>
          <w:rStyle w:val="FootnoteReference"/>
          <w:bCs/>
          <w:lang w:val="en-GB"/>
        </w:rPr>
        <w:footnoteReference w:id="9"/>
      </w:r>
      <w:r w:rsidR="001F1F32" w:rsidRPr="00FA7FE1">
        <w:rPr>
          <w:bCs/>
          <w:lang w:val="en-GB"/>
        </w:rPr>
        <w:t xml:space="preserve"> A grants program</w:t>
      </w:r>
      <w:r w:rsidR="007E53F0" w:rsidRPr="00FA7FE1">
        <w:rPr>
          <w:bCs/>
          <w:lang w:val="en-GB"/>
        </w:rPr>
        <w:t>me</w:t>
      </w:r>
      <w:r w:rsidR="001F1F32" w:rsidRPr="00FA7FE1">
        <w:rPr>
          <w:bCs/>
          <w:lang w:val="en-GB"/>
        </w:rPr>
        <w:t xml:space="preserve"> to support business and trade initiatives also receives significant interest.</w:t>
      </w:r>
      <w:r w:rsidR="001F1F32" w:rsidRPr="00FA7FE1">
        <w:rPr>
          <w:rStyle w:val="FootnoteReference"/>
          <w:bCs/>
          <w:lang w:val="en-GB"/>
        </w:rPr>
        <w:footnoteReference w:id="10"/>
      </w:r>
      <w:r w:rsidR="001F1F32" w:rsidRPr="00FA7FE1">
        <w:rPr>
          <w:bCs/>
          <w:lang w:val="en-GB"/>
        </w:rPr>
        <w:t xml:space="preserve"> </w:t>
      </w:r>
    </w:p>
    <w:p w14:paraId="67A49DA8" w14:textId="77777777" w:rsidR="00FA365D" w:rsidRPr="00FA7FE1" w:rsidRDefault="00FA365D" w:rsidP="000F6D1F">
      <w:pPr>
        <w:jc w:val="both"/>
        <w:rPr>
          <w:rFonts w:cs="Tahoma"/>
          <w:bCs/>
          <w:lang w:val="en-GB"/>
        </w:rPr>
      </w:pPr>
    </w:p>
    <w:p w14:paraId="31412FCA" w14:textId="77777777" w:rsidR="00A737DE" w:rsidRPr="00FA7FE1" w:rsidRDefault="0023562D" w:rsidP="00A737DE">
      <w:pPr>
        <w:numPr>
          <w:ilvl w:val="0"/>
          <w:numId w:val="5"/>
        </w:numPr>
        <w:tabs>
          <w:tab w:val="clear" w:pos="360"/>
        </w:tabs>
        <w:ind w:left="0" w:firstLine="0"/>
        <w:jc w:val="both"/>
        <w:rPr>
          <w:rFonts w:cs="Tahoma"/>
          <w:bCs/>
          <w:lang w:val="en-GB"/>
        </w:rPr>
      </w:pPr>
      <w:r w:rsidRPr="00FA7FE1">
        <w:rPr>
          <w:rFonts w:cs="Tahoma"/>
          <w:bCs/>
          <w:lang w:val="en-GB"/>
        </w:rPr>
        <w:t>In Abkhazia, the UN agencies and funds as well as several development agencies along with international NGOs</w:t>
      </w:r>
      <w:r w:rsidRPr="00FA7FE1">
        <w:rPr>
          <w:rFonts w:cs="Tahoma"/>
          <w:lang w:val="en-GB"/>
        </w:rPr>
        <w:t xml:space="preserve"> </w:t>
      </w:r>
      <w:r w:rsidRPr="00FA7FE1">
        <w:rPr>
          <w:rFonts w:cs="Tahoma"/>
          <w:bCs/>
          <w:lang w:val="en-GB"/>
        </w:rPr>
        <w:t xml:space="preserve">have been able to conduct protection, humanitarian and development programmes. </w:t>
      </w:r>
      <w:r w:rsidR="00A737DE" w:rsidRPr="00FA7FE1">
        <w:rPr>
          <w:rFonts w:cs="Tahoma"/>
          <w:bCs/>
          <w:lang w:val="en-GB"/>
        </w:rPr>
        <w:t xml:space="preserve">In particular, </w:t>
      </w:r>
      <w:r w:rsidR="00A737DE" w:rsidRPr="00FA7FE1">
        <w:rPr>
          <w:bCs/>
          <w:lang w:val="en-GB"/>
        </w:rPr>
        <w:t xml:space="preserve">the Liaison Mechanism established under the </w:t>
      </w:r>
      <w:r w:rsidR="00A737DE" w:rsidRPr="00FA7FE1">
        <w:rPr>
          <w:rFonts w:cs="Tahoma"/>
          <w:bCs/>
          <w:lang w:val="en-GB"/>
        </w:rPr>
        <w:t>United Nations Development Programme (</w:t>
      </w:r>
      <w:r w:rsidR="00A737DE" w:rsidRPr="00FA7FE1">
        <w:rPr>
          <w:bCs/>
          <w:lang w:val="en-GB"/>
        </w:rPr>
        <w:t xml:space="preserve">UNDP) continues to facilitate </w:t>
      </w:r>
      <w:r w:rsidR="00A737DE" w:rsidRPr="00FA7FE1">
        <w:rPr>
          <w:bCs/>
          <w:i/>
          <w:lang w:val="en-GB"/>
        </w:rPr>
        <w:t>inter alia</w:t>
      </w:r>
      <w:r w:rsidR="00A737DE" w:rsidRPr="00FA7FE1">
        <w:rPr>
          <w:bCs/>
          <w:lang w:val="en-GB"/>
        </w:rPr>
        <w:t xml:space="preserve"> the delivery of various types of humanitarian</w:t>
      </w:r>
      <w:r w:rsidR="00A737DE" w:rsidRPr="00FA7FE1">
        <w:rPr>
          <w:rFonts w:cs="Tahoma"/>
          <w:bCs/>
          <w:lang w:val="en-GB"/>
        </w:rPr>
        <w:t xml:space="preserve"> and medical aid. </w:t>
      </w:r>
      <w:r w:rsidRPr="00FA7FE1">
        <w:rPr>
          <w:rFonts w:cs="Tahoma"/>
          <w:bCs/>
          <w:lang w:val="en-GB"/>
        </w:rPr>
        <w:t xml:space="preserve">The EU continues to support these actions in line with its engagement without recognition policy. </w:t>
      </w:r>
    </w:p>
    <w:p w14:paraId="2CD33898" w14:textId="77777777" w:rsidR="00A737DE" w:rsidRPr="00FA7FE1" w:rsidRDefault="00A737DE" w:rsidP="00CA7654">
      <w:pPr>
        <w:pStyle w:val="ListParagraph"/>
        <w:rPr>
          <w:rFonts w:cs="Tahoma"/>
          <w:bCs/>
          <w:lang w:val="en-GB"/>
        </w:rPr>
      </w:pPr>
    </w:p>
    <w:p w14:paraId="2B944CB8" w14:textId="5EDD8484" w:rsidR="00AA774D" w:rsidRPr="00FA7FE1" w:rsidRDefault="00D876D4">
      <w:pPr>
        <w:numPr>
          <w:ilvl w:val="0"/>
          <w:numId w:val="5"/>
        </w:numPr>
        <w:tabs>
          <w:tab w:val="clear" w:pos="360"/>
        </w:tabs>
        <w:ind w:left="0" w:firstLine="0"/>
        <w:jc w:val="both"/>
        <w:rPr>
          <w:rFonts w:cs="Tahoma"/>
          <w:bCs/>
          <w:lang w:val="en-GB"/>
        </w:rPr>
      </w:pPr>
      <w:r w:rsidRPr="00FA7FE1">
        <w:rPr>
          <w:rFonts w:cs="Tahoma"/>
          <w:bCs/>
          <w:lang w:val="en-GB"/>
        </w:rPr>
        <w:lastRenderedPageBreak/>
        <w:t>E</w:t>
      </w:r>
      <w:r w:rsidR="0023562D" w:rsidRPr="00FA7FE1">
        <w:rPr>
          <w:rFonts w:cs="Tahoma"/>
          <w:bCs/>
          <w:lang w:val="en-GB"/>
        </w:rPr>
        <w:t xml:space="preserve">mphasis was put by several interlocutors on the need to </w:t>
      </w:r>
      <w:r w:rsidR="00080CEC" w:rsidRPr="00FA7FE1">
        <w:rPr>
          <w:rFonts w:cs="Tahoma"/>
          <w:bCs/>
          <w:lang w:val="en-GB"/>
        </w:rPr>
        <w:t>preserve the operational space for international organisations</w:t>
      </w:r>
      <w:r w:rsidR="00C02FA0" w:rsidRPr="00FA7FE1">
        <w:rPr>
          <w:rFonts w:cs="Tahoma"/>
          <w:bCs/>
          <w:lang w:val="en-GB"/>
        </w:rPr>
        <w:t xml:space="preserve"> and NGOs in Abkhazia</w:t>
      </w:r>
      <w:r w:rsidR="00DD37FE" w:rsidRPr="00FA7FE1">
        <w:rPr>
          <w:rFonts w:cs="Tahoma"/>
          <w:bCs/>
          <w:lang w:val="en-GB"/>
        </w:rPr>
        <w:t xml:space="preserve"> for the benefit of the local populations</w:t>
      </w:r>
      <w:r w:rsidR="00080CEC" w:rsidRPr="00FA7FE1">
        <w:rPr>
          <w:rFonts w:cs="Tahoma"/>
          <w:bCs/>
          <w:lang w:val="en-GB"/>
        </w:rPr>
        <w:t xml:space="preserve">. This involves </w:t>
      </w:r>
      <w:r w:rsidR="0023562D" w:rsidRPr="00FA7FE1">
        <w:rPr>
          <w:rFonts w:cs="Tahoma"/>
          <w:bCs/>
          <w:lang w:val="en-GB"/>
        </w:rPr>
        <w:t>ensur</w:t>
      </w:r>
      <w:r w:rsidR="00080CEC" w:rsidRPr="00FA7FE1">
        <w:rPr>
          <w:rFonts w:cs="Tahoma"/>
          <w:bCs/>
          <w:lang w:val="en-GB"/>
        </w:rPr>
        <w:t>ing</w:t>
      </w:r>
      <w:r w:rsidR="0023562D" w:rsidRPr="00FA7FE1">
        <w:rPr>
          <w:rFonts w:cs="Tahoma"/>
          <w:bCs/>
          <w:lang w:val="en-GB"/>
        </w:rPr>
        <w:t xml:space="preserve"> </w:t>
      </w:r>
      <w:r w:rsidR="00F73D28" w:rsidRPr="00FA7FE1">
        <w:rPr>
          <w:rFonts w:cs="Tahoma"/>
          <w:bCs/>
          <w:lang w:val="en-GB"/>
        </w:rPr>
        <w:t>that</w:t>
      </w:r>
      <w:r w:rsidR="0023562D" w:rsidRPr="00FA7FE1">
        <w:rPr>
          <w:rFonts w:cs="Tahoma"/>
          <w:bCs/>
          <w:lang w:val="en-GB"/>
        </w:rPr>
        <w:t xml:space="preserve"> </w:t>
      </w:r>
      <w:r w:rsidR="00A737DE" w:rsidRPr="00FA7FE1">
        <w:rPr>
          <w:rFonts w:cs="Tahoma"/>
          <w:bCs/>
          <w:lang w:val="en-GB"/>
        </w:rPr>
        <w:t xml:space="preserve">all the mandated personnel of </w:t>
      </w:r>
      <w:r w:rsidR="0023562D" w:rsidRPr="00FA7FE1">
        <w:rPr>
          <w:rFonts w:cs="Tahoma"/>
          <w:bCs/>
          <w:lang w:val="en-GB"/>
        </w:rPr>
        <w:t xml:space="preserve">international humanitarian organisations </w:t>
      </w:r>
      <w:r w:rsidR="00F73D28" w:rsidRPr="00FA7FE1">
        <w:rPr>
          <w:rFonts w:cs="Tahoma"/>
          <w:bCs/>
          <w:lang w:val="en-GB"/>
        </w:rPr>
        <w:t xml:space="preserve">have a constant and unimpeded access </w:t>
      </w:r>
      <w:r w:rsidR="0023562D" w:rsidRPr="00FA7FE1">
        <w:rPr>
          <w:rFonts w:cs="Tahoma"/>
          <w:bCs/>
          <w:lang w:val="en-GB"/>
        </w:rPr>
        <w:t>to the population affected by the conflict.</w:t>
      </w:r>
    </w:p>
    <w:p w14:paraId="1B7586D3" w14:textId="77777777" w:rsidR="009B72EA" w:rsidRPr="00FA7FE1" w:rsidRDefault="009B72EA" w:rsidP="00976CDB">
      <w:pPr>
        <w:jc w:val="both"/>
        <w:rPr>
          <w:rFonts w:cs="Tahoma"/>
          <w:bCs/>
          <w:lang w:val="en-GB"/>
        </w:rPr>
      </w:pPr>
    </w:p>
    <w:p w14:paraId="06C20CF2" w14:textId="1C4DC25C" w:rsidR="009B72EA" w:rsidRPr="00FA7FE1" w:rsidRDefault="00EE4641" w:rsidP="00976CDB">
      <w:pPr>
        <w:numPr>
          <w:ilvl w:val="0"/>
          <w:numId w:val="5"/>
        </w:numPr>
        <w:tabs>
          <w:tab w:val="clear" w:pos="360"/>
        </w:tabs>
        <w:ind w:left="0" w:firstLine="0"/>
        <w:jc w:val="both"/>
        <w:rPr>
          <w:rFonts w:cs="Tahoma"/>
          <w:bCs/>
          <w:lang w:val="en-GB"/>
        </w:rPr>
      </w:pPr>
      <w:r w:rsidRPr="00FA7FE1">
        <w:rPr>
          <w:rFonts w:cs="Tahoma"/>
          <w:bCs/>
          <w:lang w:val="en-GB"/>
        </w:rPr>
        <w:t>Throughout the reporting period,</w:t>
      </w:r>
      <w:r w:rsidR="009B72EA" w:rsidRPr="00FA7FE1">
        <w:rPr>
          <w:rFonts w:cs="Tahoma"/>
          <w:bCs/>
          <w:lang w:val="en-GB"/>
        </w:rPr>
        <w:t xml:space="preserve"> access </w:t>
      </w:r>
      <w:r w:rsidR="005D25C3" w:rsidRPr="00FA7FE1">
        <w:rPr>
          <w:rFonts w:cs="Tahoma"/>
          <w:bCs/>
          <w:lang w:val="en-GB"/>
        </w:rPr>
        <w:t xml:space="preserve">for international </w:t>
      </w:r>
      <w:r w:rsidR="0087266C" w:rsidRPr="00FA7FE1">
        <w:rPr>
          <w:rFonts w:cs="Tahoma"/>
          <w:bCs/>
          <w:lang w:val="en-GB"/>
        </w:rPr>
        <w:t>engagement</w:t>
      </w:r>
      <w:r w:rsidR="005D25C3" w:rsidRPr="00FA7FE1">
        <w:rPr>
          <w:rFonts w:cs="Tahoma"/>
          <w:bCs/>
          <w:lang w:val="en-GB"/>
        </w:rPr>
        <w:t xml:space="preserve"> to South Ossetia </w:t>
      </w:r>
      <w:r w:rsidR="00C20A1D" w:rsidRPr="00FA7FE1">
        <w:rPr>
          <w:rFonts w:cs="Tahoma"/>
          <w:bCs/>
          <w:lang w:val="en-GB"/>
        </w:rPr>
        <w:t xml:space="preserve">remained </w:t>
      </w:r>
      <w:r w:rsidR="00DD37FE" w:rsidRPr="00FA7FE1">
        <w:rPr>
          <w:rFonts w:cs="Tahoma"/>
          <w:bCs/>
          <w:lang w:val="en-GB"/>
        </w:rPr>
        <w:t>limited</w:t>
      </w:r>
      <w:r w:rsidR="009B72EA" w:rsidRPr="00FA7FE1">
        <w:rPr>
          <w:rFonts w:cs="Tahoma"/>
          <w:bCs/>
          <w:lang w:val="en-GB"/>
        </w:rPr>
        <w:t xml:space="preserve">. </w:t>
      </w:r>
    </w:p>
    <w:p w14:paraId="5D774D8B" w14:textId="77777777" w:rsidR="00135354" w:rsidRPr="00FA7FE1" w:rsidRDefault="00135354" w:rsidP="00976CDB">
      <w:pPr>
        <w:jc w:val="both"/>
        <w:rPr>
          <w:rFonts w:cs="Tahoma"/>
          <w:bCs/>
          <w:lang w:val="en-GB"/>
        </w:rPr>
      </w:pPr>
    </w:p>
    <w:p w14:paraId="44E6BF16" w14:textId="29BD5A08" w:rsidR="006E2202" w:rsidRPr="00FA7FE1" w:rsidRDefault="00AA11C5" w:rsidP="00976CDB">
      <w:pPr>
        <w:numPr>
          <w:ilvl w:val="0"/>
          <w:numId w:val="5"/>
        </w:numPr>
        <w:tabs>
          <w:tab w:val="clear" w:pos="360"/>
        </w:tabs>
        <w:ind w:left="0" w:firstLine="0"/>
        <w:jc w:val="both"/>
        <w:rPr>
          <w:rFonts w:cs="Tahoma"/>
          <w:bCs/>
          <w:lang w:val="en-GB"/>
        </w:rPr>
      </w:pPr>
      <w:r w:rsidRPr="00FA7FE1">
        <w:rPr>
          <w:rFonts w:cs="Tahoma"/>
          <w:bCs/>
          <w:lang w:val="en-GB"/>
        </w:rPr>
        <w:t xml:space="preserve">No </w:t>
      </w:r>
      <w:r w:rsidR="008853B0" w:rsidRPr="00FA7FE1">
        <w:rPr>
          <w:rFonts w:cs="Tahoma"/>
          <w:bCs/>
          <w:lang w:val="en-GB"/>
        </w:rPr>
        <w:t xml:space="preserve">specific </w:t>
      </w:r>
      <w:r w:rsidRPr="00FA7FE1">
        <w:rPr>
          <w:rFonts w:cs="Tahoma"/>
          <w:bCs/>
          <w:lang w:val="en-GB"/>
        </w:rPr>
        <w:t xml:space="preserve">progress has been </w:t>
      </w:r>
      <w:r w:rsidR="0087266C" w:rsidRPr="00FA7FE1">
        <w:rPr>
          <w:rFonts w:cs="Tahoma"/>
          <w:bCs/>
          <w:lang w:val="en-GB"/>
        </w:rPr>
        <w:t>reported as regards amendments to</w:t>
      </w:r>
      <w:r w:rsidRPr="00FA7FE1">
        <w:rPr>
          <w:rFonts w:cs="Tahoma"/>
          <w:bCs/>
          <w:lang w:val="en-GB"/>
        </w:rPr>
        <w:t xml:space="preserve"> </w:t>
      </w:r>
      <w:r w:rsidR="00135354" w:rsidRPr="00FA7FE1">
        <w:rPr>
          <w:rFonts w:cs="Tahoma"/>
          <w:bCs/>
          <w:lang w:val="en-GB"/>
        </w:rPr>
        <w:t>Georgia’s</w:t>
      </w:r>
      <w:r w:rsidRPr="00FA7FE1">
        <w:rPr>
          <w:rFonts w:cs="Tahoma"/>
          <w:bCs/>
          <w:lang w:val="en-GB"/>
        </w:rPr>
        <w:t xml:space="preserve"> “Law on Occupied Territories”</w:t>
      </w:r>
      <w:r w:rsidR="00EE6C7C" w:rsidRPr="00FA7FE1">
        <w:rPr>
          <w:rFonts w:cs="Tahoma"/>
          <w:bCs/>
          <w:lang w:val="en-GB"/>
        </w:rPr>
        <w:t xml:space="preserve"> in line with the </w:t>
      </w:r>
      <w:r w:rsidR="00F51DF3">
        <w:rPr>
          <w:rFonts w:cs="Tahoma"/>
          <w:bCs/>
          <w:lang w:val="en-GB"/>
        </w:rPr>
        <w:t>recom</w:t>
      </w:r>
      <w:r w:rsidR="003E0867">
        <w:rPr>
          <w:rFonts w:cs="Tahoma"/>
          <w:bCs/>
          <w:lang w:val="en-GB"/>
        </w:rPr>
        <w:t>m</w:t>
      </w:r>
      <w:r w:rsidR="00F51DF3">
        <w:rPr>
          <w:rFonts w:cs="Tahoma"/>
          <w:bCs/>
          <w:lang w:val="en-GB"/>
        </w:rPr>
        <w:t xml:space="preserve">endations of the </w:t>
      </w:r>
      <w:r w:rsidR="00EE6C7C" w:rsidRPr="00FA7FE1">
        <w:rPr>
          <w:rFonts w:cs="Tahoma"/>
          <w:bCs/>
          <w:lang w:val="en-GB"/>
        </w:rPr>
        <w:t>Venice Commission’s opinions</w:t>
      </w:r>
      <w:r w:rsidRPr="00FA7FE1">
        <w:rPr>
          <w:rFonts w:cs="Tahoma"/>
          <w:bCs/>
          <w:lang w:val="en-GB"/>
        </w:rPr>
        <w:t>.</w:t>
      </w:r>
      <w:r w:rsidR="00F60FE8" w:rsidRPr="00FA7FE1">
        <w:rPr>
          <w:rFonts w:cs="Tahoma"/>
          <w:bCs/>
          <w:lang w:val="en-GB"/>
        </w:rPr>
        <w:t xml:space="preserve"> </w:t>
      </w:r>
    </w:p>
    <w:p w14:paraId="6ACB008E" w14:textId="77777777" w:rsidR="00642E56" w:rsidRPr="00FA7FE1" w:rsidRDefault="00642E56" w:rsidP="00976CDB">
      <w:pPr>
        <w:jc w:val="both"/>
        <w:rPr>
          <w:rFonts w:cs="Tahoma"/>
          <w:i/>
          <w:lang w:val="en-GB"/>
        </w:rPr>
      </w:pPr>
    </w:p>
    <w:p w14:paraId="08E135E2" w14:textId="77777777" w:rsidR="00E64288" w:rsidRPr="00FA7FE1" w:rsidRDefault="00E64288" w:rsidP="00976CDB">
      <w:pPr>
        <w:tabs>
          <w:tab w:val="left" w:pos="993"/>
        </w:tabs>
        <w:jc w:val="both"/>
        <w:rPr>
          <w:rFonts w:cs="Tahoma"/>
          <w:i/>
          <w:lang w:val="en-GB"/>
        </w:rPr>
      </w:pPr>
      <w:r w:rsidRPr="00FA7FE1">
        <w:rPr>
          <w:rFonts w:cs="Tahoma"/>
          <w:i/>
          <w:lang w:val="en-GB"/>
        </w:rPr>
        <w:t>III</w:t>
      </w:r>
      <w:r w:rsidRPr="00FA7FE1">
        <w:rPr>
          <w:rFonts w:cs="Tahoma"/>
          <w:i/>
          <w:lang w:val="en-GB"/>
        </w:rPr>
        <w:tab/>
        <w:t>Human rights situation in the areas affected by the conflict</w:t>
      </w:r>
    </w:p>
    <w:p w14:paraId="6D3E6043" w14:textId="77777777" w:rsidR="00666DB4" w:rsidRPr="00FA7FE1" w:rsidRDefault="00666DB4" w:rsidP="00CA7654">
      <w:pPr>
        <w:pStyle w:val="ListParagraph"/>
        <w:tabs>
          <w:tab w:val="num" w:pos="709"/>
        </w:tabs>
        <w:ind w:left="0"/>
        <w:contextualSpacing/>
        <w:jc w:val="both"/>
        <w:rPr>
          <w:rFonts w:cs="Tahoma"/>
          <w:lang w:val="en-GB"/>
        </w:rPr>
      </w:pPr>
    </w:p>
    <w:p w14:paraId="793DE782" w14:textId="47C4B81F" w:rsidR="00666DB4" w:rsidRPr="00FA7FE1" w:rsidRDefault="00053CE3" w:rsidP="002A3CE8">
      <w:pPr>
        <w:numPr>
          <w:ilvl w:val="0"/>
          <w:numId w:val="5"/>
        </w:numPr>
        <w:tabs>
          <w:tab w:val="clear" w:pos="360"/>
        </w:tabs>
        <w:ind w:left="0" w:firstLine="0"/>
        <w:jc w:val="both"/>
        <w:rPr>
          <w:rFonts w:cs="Tahoma"/>
          <w:bCs/>
          <w:lang w:val="en-GB"/>
        </w:rPr>
      </w:pPr>
      <w:r w:rsidRPr="00FA7FE1">
        <w:rPr>
          <w:rFonts w:cs="Tahoma"/>
          <w:lang w:val="en-GB"/>
        </w:rPr>
        <w:t xml:space="preserve">As mentioned above (Section I), </w:t>
      </w:r>
      <w:r w:rsidR="00666DB4" w:rsidRPr="00FA7FE1">
        <w:rPr>
          <w:rFonts w:cs="Tahoma"/>
          <w:lang w:val="en-GB"/>
        </w:rPr>
        <w:t xml:space="preserve">the </w:t>
      </w:r>
      <w:r w:rsidR="00B1594C" w:rsidRPr="00FA7FE1">
        <w:rPr>
          <w:rFonts w:cs="Tahoma"/>
          <w:lang w:val="en-GB"/>
        </w:rPr>
        <w:t xml:space="preserve">security </w:t>
      </w:r>
      <w:r w:rsidR="00666DB4" w:rsidRPr="00FA7FE1">
        <w:rPr>
          <w:rFonts w:cs="Tahoma"/>
          <w:lang w:val="en-GB"/>
        </w:rPr>
        <w:t xml:space="preserve">situation on the ground </w:t>
      </w:r>
      <w:r w:rsidR="00BC41B2" w:rsidRPr="00FA7FE1">
        <w:rPr>
          <w:rFonts w:cs="Tahoma"/>
          <w:lang w:val="en-GB"/>
        </w:rPr>
        <w:t>has been</w:t>
      </w:r>
      <w:r w:rsidR="00666DB4" w:rsidRPr="00FA7FE1">
        <w:rPr>
          <w:rFonts w:cs="Tahoma"/>
          <w:lang w:val="en-GB"/>
        </w:rPr>
        <w:t xml:space="preserve"> assessed by various interlocutors as deteriorating, in particular in reference to the serious security challenges in the Chorchana-Tsnelisi area </w:t>
      </w:r>
      <w:r w:rsidR="00B1594C" w:rsidRPr="00FA7FE1">
        <w:rPr>
          <w:rFonts w:cs="Tahoma"/>
          <w:lang w:val="en-GB"/>
        </w:rPr>
        <w:t>s</w:t>
      </w:r>
      <w:r w:rsidR="00666DB4" w:rsidRPr="00FA7FE1">
        <w:rPr>
          <w:rFonts w:cs="Tahoma"/>
          <w:lang w:val="en-GB"/>
        </w:rPr>
        <w:t>ince August 2019. The human rights and humanitarian situation of the conflict-affected communities remained under strain, notably due to persisting and</w:t>
      </w:r>
      <w:r w:rsidR="00AA774D" w:rsidRPr="00FA7FE1">
        <w:rPr>
          <w:rFonts w:cs="Tahoma"/>
          <w:lang w:val="en-GB"/>
        </w:rPr>
        <w:t>/or</w:t>
      </w:r>
      <w:r w:rsidR="00666DB4" w:rsidRPr="00FA7FE1">
        <w:rPr>
          <w:rFonts w:cs="Tahoma"/>
          <w:lang w:val="en-GB"/>
        </w:rPr>
        <w:t xml:space="preserve"> newly imposed restrictions on freedom of movement, documentation </w:t>
      </w:r>
      <w:r w:rsidR="00B1594C" w:rsidRPr="00FA7FE1">
        <w:rPr>
          <w:rFonts w:cs="Tahoma"/>
          <w:lang w:val="en-GB"/>
        </w:rPr>
        <w:t xml:space="preserve">issues </w:t>
      </w:r>
      <w:r w:rsidR="00666DB4" w:rsidRPr="00FA7FE1">
        <w:rPr>
          <w:rFonts w:cs="Tahoma"/>
          <w:lang w:val="en-GB"/>
        </w:rPr>
        <w:t xml:space="preserve">as well as </w:t>
      </w:r>
      <w:r w:rsidR="00B1594C" w:rsidRPr="00FA7FE1">
        <w:rPr>
          <w:rFonts w:cs="Tahoma"/>
          <w:lang w:val="en-GB"/>
        </w:rPr>
        <w:t>obstacles o</w:t>
      </w:r>
      <w:r w:rsidR="00D1698D" w:rsidRPr="00FA7FE1">
        <w:rPr>
          <w:rFonts w:cs="Tahoma"/>
          <w:lang w:val="en-GB"/>
        </w:rPr>
        <w:t>n</w:t>
      </w:r>
      <w:r w:rsidR="00B1594C" w:rsidRPr="00FA7FE1">
        <w:rPr>
          <w:rFonts w:cs="Tahoma"/>
          <w:lang w:val="en-GB"/>
        </w:rPr>
        <w:t xml:space="preserve"> </w:t>
      </w:r>
      <w:r w:rsidR="00666DB4" w:rsidRPr="00FA7FE1">
        <w:rPr>
          <w:rFonts w:cs="Tahoma"/>
          <w:lang w:val="en-GB"/>
        </w:rPr>
        <w:t>access to basic services.</w:t>
      </w:r>
      <w:r w:rsidR="00CA7406" w:rsidRPr="00FA7FE1">
        <w:rPr>
          <w:rFonts w:cs="Tahoma"/>
          <w:bCs/>
          <w:lang w:val="en-GB"/>
        </w:rPr>
        <w:t xml:space="preserve"> Concerns </w:t>
      </w:r>
      <w:r w:rsidR="00AA139A" w:rsidRPr="00FA7FE1">
        <w:rPr>
          <w:rFonts w:cs="Tahoma"/>
          <w:bCs/>
          <w:lang w:val="en-GB"/>
        </w:rPr>
        <w:t>are also constantly</w:t>
      </w:r>
      <w:r w:rsidR="00CA7406" w:rsidRPr="00FA7FE1">
        <w:rPr>
          <w:rFonts w:cs="Tahoma"/>
          <w:bCs/>
          <w:lang w:val="en-GB"/>
        </w:rPr>
        <w:t xml:space="preserve"> expressed that </w:t>
      </w:r>
      <w:r w:rsidR="00AA139A" w:rsidRPr="00FA7FE1">
        <w:rPr>
          <w:rFonts w:cs="Tahoma"/>
          <w:bCs/>
          <w:lang w:val="en-GB"/>
        </w:rPr>
        <w:t xml:space="preserve">prolonged </w:t>
      </w:r>
      <w:r w:rsidR="00CA7406" w:rsidRPr="00FA7FE1">
        <w:rPr>
          <w:rFonts w:cs="Tahoma"/>
          <w:bCs/>
          <w:lang w:val="en-GB"/>
        </w:rPr>
        <w:t xml:space="preserve">closures of both Administrative Boundary Lines </w:t>
      </w:r>
      <w:r w:rsidR="00AA139A" w:rsidRPr="00FA7FE1">
        <w:rPr>
          <w:rFonts w:cs="Tahoma"/>
          <w:bCs/>
          <w:lang w:val="en-GB"/>
        </w:rPr>
        <w:t>by</w:t>
      </w:r>
      <w:r w:rsidR="00D876D4" w:rsidRPr="00FA7FE1">
        <w:rPr>
          <w:rFonts w:cs="Tahoma"/>
          <w:bCs/>
          <w:lang w:val="en-GB"/>
        </w:rPr>
        <w:t xml:space="preserve"> the</w:t>
      </w:r>
      <w:r w:rsidR="00AA139A" w:rsidRPr="00FA7FE1">
        <w:rPr>
          <w:rFonts w:cs="Tahoma"/>
          <w:bCs/>
          <w:lang w:val="en-GB"/>
        </w:rPr>
        <w:t xml:space="preserve"> </w:t>
      </w:r>
      <w:r w:rsidR="00FA7FE1" w:rsidRPr="00FA7FE1">
        <w:rPr>
          <w:rFonts w:cs="Tahoma"/>
          <w:bCs/>
          <w:i/>
          <w:iCs/>
          <w:lang w:val="en-GB"/>
        </w:rPr>
        <w:t>de</w:t>
      </w:r>
      <w:r w:rsidR="00AA139A" w:rsidRPr="00FA7FE1">
        <w:rPr>
          <w:rFonts w:cs="Tahoma"/>
          <w:bCs/>
          <w:i/>
          <w:iCs/>
          <w:lang w:val="en-GB"/>
        </w:rPr>
        <w:t xml:space="preserve"> facto</w:t>
      </w:r>
      <w:r w:rsidR="00AA139A" w:rsidRPr="00FA7FE1">
        <w:rPr>
          <w:rFonts w:cs="Tahoma"/>
          <w:bCs/>
          <w:lang w:val="en-GB"/>
        </w:rPr>
        <w:t xml:space="preserve"> authorities </w:t>
      </w:r>
      <w:r w:rsidR="00CA7406" w:rsidRPr="00FA7FE1">
        <w:rPr>
          <w:rFonts w:cs="Tahoma"/>
          <w:bCs/>
          <w:lang w:val="en-GB"/>
        </w:rPr>
        <w:t>have continued to affect the vulnerable groups’ access to humanitarian and medical assistance.</w:t>
      </w:r>
    </w:p>
    <w:p w14:paraId="1AED7A53" w14:textId="77777777" w:rsidR="00B1594C" w:rsidRPr="00FA7FE1" w:rsidRDefault="00B1594C" w:rsidP="002A3CE8">
      <w:pPr>
        <w:pStyle w:val="ListParagraph"/>
        <w:tabs>
          <w:tab w:val="num" w:pos="709"/>
        </w:tabs>
        <w:ind w:left="0"/>
        <w:contextualSpacing/>
        <w:jc w:val="both"/>
        <w:rPr>
          <w:rFonts w:cs="Tahoma"/>
          <w:lang w:val="en-GB"/>
        </w:rPr>
      </w:pPr>
    </w:p>
    <w:p w14:paraId="606B8DC6" w14:textId="7A5F04CB" w:rsidR="00B1594C" w:rsidRPr="00FA7FE1" w:rsidRDefault="00B1594C" w:rsidP="00B1594C">
      <w:pPr>
        <w:pStyle w:val="ListParagraph"/>
        <w:numPr>
          <w:ilvl w:val="0"/>
          <w:numId w:val="5"/>
        </w:numPr>
        <w:tabs>
          <w:tab w:val="clear" w:pos="360"/>
          <w:tab w:val="num" w:pos="0"/>
          <w:tab w:val="num" w:pos="709"/>
        </w:tabs>
        <w:ind w:left="0" w:firstLine="0"/>
        <w:contextualSpacing/>
        <w:jc w:val="both"/>
        <w:rPr>
          <w:rFonts w:cs="Tahoma"/>
          <w:lang w:val="en-GB"/>
        </w:rPr>
      </w:pPr>
      <w:r w:rsidRPr="00FA7FE1">
        <w:rPr>
          <w:rFonts w:cs="Tahoma"/>
          <w:lang w:val="en-GB"/>
        </w:rPr>
        <w:t>Notwithstanding continued appeals at the international level, regrettably no progress has been made in ensuring unfettered access for international human rights monitoring mechanisms, including those of the Council of Europe, to Abkhazia and South Ossetia. According to all interlocutors, there remains an urgent need for regular and standards-based assessment</w:t>
      </w:r>
      <w:r w:rsidR="001A1F9A" w:rsidRPr="00FA7FE1">
        <w:rPr>
          <w:rFonts w:cs="Tahoma"/>
          <w:lang w:val="en-GB"/>
        </w:rPr>
        <w:t>s</w:t>
      </w:r>
      <w:r w:rsidRPr="00FA7FE1">
        <w:rPr>
          <w:rFonts w:cs="Tahoma"/>
          <w:lang w:val="en-GB"/>
        </w:rPr>
        <w:t xml:space="preserve"> of the application of principles and standards of the European Convention for Human Rights and other international human rights treaties.</w:t>
      </w:r>
    </w:p>
    <w:p w14:paraId="04774C61" w14:textId="05F8A92A" w:rsidR="00C363BA" w:rsidRPr="00FA7FE1" w:rsidRDefault="00C363BA" w:rsidP="00CA7654">
      <w:pPr>
        <w:pStyle w:val="ListParagraph"/>
        <w:tabs>
          <w:tab w:val="num" w:pos="709"/>
        </w:tabs>
        <w:ind w:left="0"/>
        <w:contextualSpacing/>
        <w:rPr>
          <w:lang w:val="en-GB"/>
        </w:rPr>
      </w:pPr>
    </w:p>
    <w:p w14:paraId="6FB9C60E" w14:textId="77777777" w:rsidR="00E64288" w:rsidRPr="00FA7FE1" w:rsidRDefault="00E64288" w:rsidP="00976CDB">
      <w:pPr>
        <w:tabs>
          <w:tab w:val="left" w:pos="993"/>
        </w:tabs>
        <w:jc w:val="both"/>
        <w:rPr>
          <w:rFonts w:cs="Tahoma"/>
          <w:i/>
          <w:lang w:val="en-GB"/>
        </w:rPr>
      </w:pPr>
      <w:r w:rsidRPr="00FA7FE1">
        <w:rPr>
          <w:rFonts w:cs="Tahoma"/>
          <w:i/>
          <w:lang w:val="en-GB"/>
        </w:rPr>
        <w:t>III.1</w:t>
      </w:r>
      <w:r w:rsidRPr="00FA7FE1">
        <w:rPr>
          <w:rFonts w:cs="Tahoma"/>
          <w:i/>
          <w:lang w:val="en-GB"/>
        </w:rPr>
        <w:tab/>
        <w:t>Reports on Abkhazia</w:t>
      </w:r>
    </w:p>
    <w:p w14:paraId="44EFF65B" w14:textId="77777777" w:rsidR="00E64288" w:rsidRPr="00FA7FE1" w:rsidRDefault="00E64288" w:rsidP="00976CDB">
      <w:pPr>
        <w:jc w:val="both"/>
        <w:rPr>
          <w:rFonts w:cs="Tahoma"/>
          <w:lang w:val="en-GB"/>
        </w:rPr>
      </w:pPr>
    </w:p>
    <w:p w14:paraId="44CAD0DB" w14:textId="77777777" w:rsidR="00E64288" w:rsidRPr="00FA7FE1" w:rsidRDefault="00E64288" w:rsidP="00976CDB">
      <w:pPr>
        <w:tabs>
          <w:tab w:val="left" w:pos="993"/>
        </w:tabs>
        <w:jc w:val="both"/>
        <w:rPr>
          <w:rFonts w:cs="Tahoma"/>
          <w:i/>
          <w:lang w:val="en-GB"/>
        </w:rPr>
      </w:pPr>
      <w:r w:rsidRPr="00FA7FE1">
        <w:rPr>
          <w:rFonts w:cs="Tahoma"/>
          <w:i/>
          <w:lang w:val="en-GB"/>
        </w:rPr>
        <w:t>III.1.i</w:t>
      </w:r>
      <w:r w:rsidRPr="00FA7FE1">
        <w:rPr>
          <w:rFonts w:cs="Tahoma"/>
          <w:i/>
          <w:lang w:val="en-GB"/>
        </w:rPr>
        <w:tab/>
        <w:t xml:space="preserve">Security </w:t>
      </w:r>
    </w:p>
    <w:p w14:paraId="33BB4C8F" w14:textId="77777777" w:rsidR="009D67D6" w:rsidRPr="00FA7FE1" w:rsidRDefault="009D67D6" w:rsidP="00976CDB">
      <w:pPr>
        <w:jc w:val="both"/>
        <w:rPr>
          <w:rFonts w:cs="Tahoma"/>
          <w:i/>
          <w:lang w:val="en-GB"/>
        </w:rPr>
      </w:pPr>
    </w:p>
    <w:p w14:paraId="59DB6F92" w14:textId="02D18936" w:rsidR="009F5A08" w:rsidRPr="00FA7FE1" w:rsidRDefault="00455DA3" w:rsidP="00CA7654">
      <w:pPr>
        <w:pStyle w:val="ListParagraph"/>
        <w:numPr>
          <w:ilvl w:val="0"/>
          <w:numId w:val="5"/>
        </w:numPr>
        <w:tabs>
          <w:tab w:val="clear" w:pos="360"/>
          <w:tab w:val="num" w:pos="0"/>
        </w:tabs>
        <w:ind w:left="0" w:firstLine="0"/>
        <w:jc w:val="both"/>
        <w:rPr>
          <w:rFonts w:cs="Tahoma"/>
          <w:bCs/>
          <w:lang w:val="en-GB"/>
        </w:rPr>
      </w:pPr>
      <w:r w:rsidRPr="00FA7FE1">
        <w:rPr>
          <w:rFonts w:cs="Tahoma"/>
          <w:bCs/>
          <w:lang w:val="en-GB"/>
        </w:rPr>
        <w:t>As in previous reports,</w:t>
      </w:r>
      <w:r w:rsidR="004531F8" w:rsidRPr="00FA7FE1">
        <w:rPr>
          <w:rFonts w:cs="Tahoma"/>
          <w:bCs/>
          <w:lang w:val="en-GB"/>
        </w:rPr>
        <w:t xml:space="preserve"> </w:t>
      </w:r>
      <w:r w:rsidRPr="00FA7FE1">
        <w:rPr>
          <w:rFonts w:cs="Tahoma"/>
          <w:bCs/>
          <w:lang w:val="en-GB"/>
        </w:rPr>
        <w:t>continued</w:t>
      </w:r>
      <w:r w:rsidR="004531F8" w:rsidRPr="00FA7FE1">
        <w:rPr>
          <w:rFonts w:cs="Tahoma"/>
          <w:bCs/>
          <w:lang w:val="en-GB"/>
        </w:rPr>
        <w:t xml:space="preserve"> restrictions with respect to basic rights and services compound perceptions of insecurity and uncertainty. The predominantly ethnic Georgian </w:t>
      </w:r>
      <w:r w:rsidR="00951421" w:rsidRPr="00FA7FE1">
        <w:rPr>
          <w:rFonts w:cs="Tahoma"/>
          <w:bCs/>
          <w:lang w:val="en-GB"/>
        </w:rPr>
        <w:t xml:space="preserve">population </w:t>
      </w:r>
      <w:r w:rsidR="004531F8" w:rsidRPr="00FA7FE1">
        <w:rPr>
          <w:rFonts w:cs="Tahoma"/>
          <w:bCs/>
          <w:lang w:val="en-GB"/>
        </w:rPr>
        <w:t>in the Gali district continue</w:t>
      </w:r>
      <w:r w:rsidR="00EE4641" w:rsidRPr="00FA7FE1">
        <w:rPr>
          <w:rFonts w:cs="Tahoma"/>
          <w:bCs/>
          <w:lang w:val="en-GB"/>
        </w:rPr>
        <w:t>s</w:t>
      </w:r>
      <w:r w:rsidR="004531F8" w:rsidRPr="00FA7FE1">
        <w:rPr>
          <w:rFonts w:cs="Tahoma"/>
          <w:bCs/>
          <w:lang w:val="en-GB"/>
        </w:rPr>
        <w:t xml:space="preserve"> to be the most vulnerable group in this respect</w:t>
      </w:r>
      <w:r w:rsidR="00AA6A09" w:rsidRPr="00FA7FE1">
        <w:rPr>
          <w:rFonts w:cs="Tahoma"/>
          <w:bCs/>
          <w:lang w:val="en-GB"/>
        </w:rPr>
        <w:t xml:space="preserve">. </w:t>
      </w:r>
      <w:r w:rsidRPr="00FA7FE1">
        <w:rPr>
          <w:rFonts w:cs="Tahoma"/>
          <w:bCs/>
          <w:lang w:val="en-GB"/>
        </w:rPr>
        <w:t xml:space="preserve">Attempts to hold </w:t>
      </w:r>
      <w:r w:rsidR="00951421" w:rsidRPr="00FA7FE1">
        <w:rPr>
          <w:rFonts w:cs="Tahoma"/>
          <w:bCs/>
          <w:lang w:val="en-GB"/>
        </w:rPr>
        <w:t>IPRM</w:t>
      </w:r>
      <w:r w:rsidR="004531F8" w:rsidRPr="00FA7FE1">
        <w:rPr>
          <w:rFonts w:cs="Tahoma"/>
          <w:bCs/>
          <w:lang w:val="en-GB"/>
        </w:rPr>
        <w:t xml:space="preserve"> </w:t>
      </w:r>
      <w:r w:rsidRPr="00FA7FE1">
        <w:rPr>
          <w:rFonts w:cs="Tahoma"/>
          <w:bCs/>
          <w:lang w:val="en-GB"/>
        </w:rPr>
        <w:t>meetings during the period under review</w:t>
      </w:r>
      <w:r w:rsidR="00EE4641" w:rsidRPr="00FA7FE1">
        <w:rPr>
          <w:rFonts w:cs="Tahoma"/>
          <w:bCs/>
          <w:lang w:val="en-GB"/>
        </w:rPr>
        <w:t xml:space="preserve"> </w:t>
      </w:r>
      <w:r w:rsidRPr="00FA7FE1">
        <w:rPr>
          <w:rFonts w:cs="Tahoma"/>
          <w:bCs/>
          <w:lang w:val="en-GB"/>
        </w:rPr>
        <w:t xml:space="preserve">have failed. </w:t>
      </w:r>
      <w:r w:rsidR="009F5A08" w:rsidRPr="00FA7FE1">
        <w:rPr>
          <w:rFonts w:cs="Tahoma"/>
          <w:bCs/>
          <w:lang w:val="en-GB"/>
        </w:rPr>
        <w:t xml:space="preserve">The EUMM-facilitated hotline continues to operate. </w:t>
      </w:r>
    </w:p>
    <w:p w14:paraId="16EC9894" w14:textId="77777777" w:rsidR="002A33FE" w:rsidRPr="00FA7FE1" w:rsidRDefault="002A33FE" w:rsidP="00976CDB">
      <w:pPr>
        <w:pStyle w:val="ListParagraph"/>
        <w:ind w:left="0"/>
        <w:jc w:val="both"/>
        <w:rPr>
          <w:rFonts w:cs="Tahoma"/>
          <w:bCs/>
          <w:lang w:val="en-GB"/>
        </w:rPr>
      </w:pPr>
    </w:p>
    <w:p w14:paraId="0DA6362B" w14:textId="77777777" w:rsidR="00052E57" w:rsidRPr="00FA7FE1" w:rsidRDefault="00E64288" w:rsidP="00976CDB">
      <w:pPr>
        <w:pStyle w:val="NormalWeb"/>
        <w:tabs>
          <w:tab w:val="left" w:pos="993"/>
        </w:tabs>
        <w:spacing w:before="0" w:beforeAutospacing="0" w:after="0" w:afterAutospacing="0"/>
        <w:jc w:val="both"/>
        <w:rPr>
          <w:rFonts w:cs="Tahoma"/>
          <w:i/>
          <w:iCs/>
          <w:lang w:val="en-GB"/>
        </w:rPr>
      </w:pPr>
      <w:r w:rsidRPr="00FA7FE1">
        <w:rPr>
          <w:rFonts w:cs="Tahoma"/>
          <w:i/>
          <w:iCs/>
          <w:lang w:val="en-GB"/>
        </w:rPr>
        <w:t>III.1.ii</w:t>
      </w:r>
      <w:r w:rsidRPr="00FA7FE1">
        <w:rPr>
          <w:rFonts w:cs="Tahoma"/>
          <w:i/>
          <w:iCs/>
          <w:lang w:val="en-GB"/>
        </w:rPr>
        <w:tab/>
        <w:t>Freedom of movement</w:t>
      </w:r>
    </w:p>
    <w:p w14:paraId="3C78BF47" w14:textId="77777777" w:rsidR="000722F6" w:rsidRPr="00FA7FE1" w:rsidRDefault="000722F6" w:rsidP="00976CDB">
      <w:pPr>
        <w:pStyle w:val="NormalWeb"/>
        <w:tabs>
          <w:tab w:val="left" w:pos="993"/>
        </w:tabs>
        <w:spacing w:before="0" w:beforeAutospacing="0" w:after="0" w:afterAutospacing="0"/>
        <w:jc w:val="both"/>
        <w:rPr>
          <w:rFonts w:cs="Tahoma"/>
          <w:i/>
          <w:iCs/>
          <w:lang w:val="en-GB"/>
        </w:rPr>
      </w:pPr>
    </w:p>
    <w:p w14:paraId="6E8F40C5" w14:textId="060E51C8" w:rsidR="001969B6" w:rsidRPr="00FA7FE1" w:rsidRDefault="001969B6" w:rsidP="00CA7654">
      <w:pPr>
        <w:pStyle w:val="NormalWeb"/>
        <w:widowControl w:val="0"/>
        <w:numPr>
          <w:ilvl w:val="0"/>
          <w:numId w:val="5"/>
        </w:numPr>
        <w:tabs>
          <w:tab w:val="clear" w:pos="360"/>
          <w:tab w:val="num" w:pos="0"/>
        </w:tabs>
        <w:spacing w:before="0" w:beforeAutospacing="0" w:after="0" w:afterAutospacing="0"/>
        <w:ind w:left="0" w:firstLine="0"/>
        <w:jc w:val="both"/>
        <w:rPr>
          <w:rFonts w:cs="Tahoma"/>
          <w:bCs/>
          <w:lang w:val="en-GB"/>
        </w:rPr>
      </w:pPr>
      <w:r w:rsidRPr="00FA7FE1">
        <w:rPr>
          <w:rFonts w:cs="Tahoma"/>
          <w:bCs/>
          <w:lang w:val="en-GB"/>
        </w:rPr>
        <w:t xml:space="preserve">The so-called “borderisation” process </w:t>
      </w:r>
      <w:r w:rsidR="00CC0828" w:rsidRPr="00FA7FE1">
        <w:rPr>
          <w:rFonts w:cs="Tahoma"/>
          <w:bCs/>
          <w:lang w:val="en-GB"/>
        </w:rPr>
        <w:t xml:space="preserve">is reported to be continuing </w:t>
      </w:r>
      <w:r w:rsidR="00C02FA0" w:rsidRPr="00FA7FE1">
        <w:rPr>
          <w:rFonts w:cs="Tahoma"/>
          <w:bCs/>
          <w:lang w:val="en-GB"/>
        </w:rPr>
        <w:t xml:space="preserve">at an incremental level </w:t>
      </w:r>
      <w:r w:rsidR="00CC0828" w:rsidRPr="00FA7FE1">
        <w:rPr>
          <w:rFonts w:cs="Tahoma"/>
          <w:bCs/>
          <w:lang w:val="en-GB"/>
        </w:rPr>
        <w:t>and</w:t>
      </w:r>
      <w:r w:rsidR="00C02FA0" w:rsidRPr="00FA7FE1">
        <w:rPr>
          <w:rFonts w:cs="Tahoma"/>
          <w:bCs/>
          <w:lang w:val="en-GB"/>
        </w:rPr>
        <w:t xml:space="preserve"> still</w:t>
      </w:r>
      <w:r w:rsidR="00CC0828" w:rsidRPr="00FA7FE1">
        <w:rPr>
          <w:rFonts w:cs="Tahoma"/>
          <w:bCs/>
          <w:lang w:val="en-GB"/>
        </w:rPr>
        <w:t xml:space="preserve"> constitutes</w:t>
      </w:r>
      <w:r w:rsidRPr="00FA7FE1">
        <w:rPr>
          <w:rFonts w:cs="Tahoma"/>
          <w:bCs/>
          <w:lang w:val="en-GB"/>
        </w:rPr>
        <w:t xml:space="preserve"> a major obstacle to freedom of movement. The Georgian central government and the international community maintain their firm opposition to </w:t>
      </w:r>
      <w:r w:rsidR="00AA774D" w:rsidRPr="00FA7FE1">
        <w:rPr>
          <w:rFonts w:cs="Tahoma"/>
          <w:bCs/>
          <w:lang w:val="en-GB"/>
        </w:rPr>
        <w:t>this process</w:t>
      </w:r>
      <w:r w:rsidR="00BF3105" w:rsidRPr="00FA7FE1">
        <w:rPr>
          <w:rFonts w:cs="Tahoma"/>
          <w:bCs/>
          <w:lang w:val="en-GB"/>
        </w:rPr>
        <w:t>.</w:t>
      </w:r>
      <w:r w:rsidRPr="00FA7FE1">
        <w:rPr>
          <w:rFonts w:cs="Tahoma"/>
          <w:bCs/>
          <w:lang w:val="en-GB"/>
        </w:rPr>
        <w:t xml:space="preserve"> </w:t>
      </w:r>
      <w:r w:rsidR="00BF3105" w:rsidRPr="00FA7FE1">
        <w:rPr>
          <w:rFonts w:cs="Tahoma"/>
          <w:bCs/>
          <w:lang w:val="en-GB"/>
        </w:rPr>
        <w:t>I</w:t>
      </w:r>
      <w:r w:rsidR="00AA774D" w:rsidRPr="00FA7FE1">
        <w:rPr>
          <w:rFonts w:cs="Tahoma"/>
          <w:bCs/>
          <w:lang w:val="en-GB"/>
        </w:rPr>
        <w:t>ts</w:t>
      </w:r>
      <w:r w:rsidRPr="00FA7FE1">
        <w:rPr>
          <w:rFonts w:cs="Tahoma"/>
          <w:bCs/>
          <w:lang w:val="en-GB"/>
        </w:rPr>
        <w:t xml:space="preserve"> </w:t>
      </w:r>
      <w:r w:rsidR="00BF3105" w:rsidRPr="00FA7FE1">
        <w:rPr>
          <w:rFonts w:cs="Tahoma"/>
          <w:bCs/>
          <w:lang w:val="en-GB"/>
        </w:rPr>
        <w:t xml:space="preserve">harmful </w:t>
      </w:r>
      <w:r w:rsidRPr="00FA7FE1">
        <w:rPr>
          <w:rFonts w:cs="Tahoma"/>
          <w:bCs/>
          <w:lang w:val="en-GB"/>
        </w:rPr>
        <w:t>impact on the local population</w:t>
      </w:r>
      <w:r w:rsidR="00BF3105" w:rsidRPr="00FA7FE1">
        <w:rPr>
          <w:rFonts w:cs="Tahoma"/>
          <w:bCs/>
          <w:lang w:val="en-GB"/>
        </w:rPr>
        <w:t xml:space="preserve"> is underlined</w:t>
      </w:r>
      <w:r w:rsidRPr="00FA7FE1">
        <w:rPr>
          <w:rFonts w:cs="Tahoma"/>
          <w:bCs/>
          <w:lang w:val="en-GB"/>
        </w:rPr>
        <w:t>, particularly as regards freedom of movement, livelihood and security perceptions. The issue is regularly raised in the GID format.</w:t>
      </w:r>
    </w:p>
    <w:p w14:paraId="5E8A0996" w14:textId="77777777" w:rsidR="001969B6" w:rsidRPr="00FA7FE1" w:rsidRDefault="001969B6" w:rsidP="00CA7654">
      <w:pPr>
        <w:pStyle w:val="NormalWeb"/>
        <w:spacing w:before="0" w:beforeAutospacing="0" w:after="0" w:afterAutospacing="0"/>
        <w:jc w:val="both"/>
        <w:rPr>
          <w:rFonts w:cs="Tahoma"/>
          <w:bCs/>
          <w:lang w:val="en-GB"/>
        </w:rPr>
      </w:pPr>
    </w:p>
    <w:p w14:paraId="2D3704F8" w14:textId="55F08C6B" w:rsidR="00B62E85" w:rsidRPr="00FA7FE1" w:rsidRDefault="0048639A" w:rsidP="00B62E85">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FA7FE1">
        <w:rPr>
          <w:rFonts w:cs="Tahoma"/>
          <w:bCs/>
          <w:lang w:val="en-GB"/>
        </w:rPr>
        <w:lastRenderedPageBreak/>
        <w:t>To r</w:t>
      </w:r>
      <w:r w:rsidR="00455DA3" w:rsidRPr="00FA7FE1">
        <w:rPr>
          <w:rFonts w:cs="Tahoma"/>
          <w:bCs/>
          <w:lang w:val="en-GB"/>
        </w:rPr>
        <w:t xml:space="preserve">ecall, at present, access to territory controlled by the Georgian central government is allowed </w:t>
      </w:r>
      <w:r w:rsidR="00E50E49" w:rsidRPr="00FA7FE1">
        <w:rPr>
          <w:rFonts w:cs="Tahoma"/>
          <w:bCs/>
          <w:lang w:val="en-GB"/>
        </w:rPr>
        <w:t xml:space="preserve">only </w:t>
      </w:r>
      <w:r w:rsidR="00455DA3" w:rsidRPr="00FA7FE1">
        <w:rPr>
          <w:rFonts w:cs="Tahoma"/>
          <w:bCs/>
          <w:lang w:val="en-GB"/>
        </w:rPr>
        <w:t xml:space="preserve">in two places, but mainly occurs over the </w:t>
      </w:r>
      <w:r w:rsidRPr="00FA7FE1">
        <w:rPr>
          <w:rFonts w:cs="Tahoma"/>
          <w:bCs/>
          <w:lang w:val="en-GB"/>
        </w:rPr>
        <w:t xml:space="preserve">Inguri </w:t>
      </w:r>
      <w:r w:rsidR="00455DA3" w:rsidRPr="00FA7FE1">
        <w:rPr>
          <w:rFonts w:cs="Tahoma"/>
          <w:bCs/>
          <w:lang w:val="en-GB"/>
        </w:rPr>
        <w:t xml:space="preserve">bridge. There was no closure of </w:t>
      </w:r>
      <w:r w:rsidRPr="00FA7FE1">
        <w:rPr>
          <w:rFonts w:cs="Tahoma"/>
          <w:bCs/>
          <w:lang w:val="en-GB"/>
        </w:rPr>
        <w:t>the</w:t>
      </w:r>
      <w:r w:rsidR="00A87F30" w:rsidRPr="00FA7FE1">
        <w:rPr>
          <w:rFonts w:cs="Tahoma"/>
          <w:bCs/>
          <w:lang w:val="en-GB"/>
        </w:rPr>
        <w:t xml:space="preserve"> </w:t>
      </w:r>
      <w:r w:rsidR="00455DA3" w:rsidRPr="00FA7FE1">
        <w:rPr>
          <w:rFonts w:cs="Tahoma"/>
          <w:bCs/>
          <w:lang w:val="en-GB"/>
        </w:rPr>
        <w:t>crossing points during the period under review.</w:t>
      </w:r>
      <w:r w:rsidR="00B62E85" w:rsidRPr="00FA7FE1">
        <w:rPr>
          <w:rFonts w:cs="Tahoma"/>
          <w:bCs/>
          <w:lang w:val="en-GB"/>
        </w:rPr>
        <w:t xml:space="preserve"> </w:t>
      </w:r>
    </w:p>
    <w:p w14:paraId="7F4DA786" w14:textId="77777777" w:rsidR="00B62E85" w:rsidRPr="00FA7FE1" w:rsidRDefault="00B62E85" w:rsidP="00CA7654">
      <w:pPr>
        <w:pStyle w:val="NormalWeb"/>
        <w:spacing w:before="0" w:beforeAutospacing="0" w:after="0" w:afterAutospacing="0"/>
        <w:jc w:val="both"/>
        <w:rPr>
          <w:rFonts w:cs="Tahoma"/>
          <w:bCs/>
          <w:lang w:val="en-GB"/>
        </w:rPr>
      </w:pPr>
    </w:p>
    <w:p w14:paraId="0187EEE6" w14:textId="0ED7B265" w:rsidR="00B62E85" w:rsidRPr="00FA7FE1" w:rsidRDefault="00B62E85" w:rsidP="00B62E85">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FA7FE1">
        <w:rPr>
          <w:rFonts w:cs="Tahoma"/>
          <w:bCs/>
          <w:lang w:val="en-GB"/>
        </w:rPr>
        <w:t xml:space="preserve">However, </w:t>
      </w:r>
      <w:r w:rsidR="00275061" w:rsidRPr="00FA7FE1">
        <w:rPr>
          <w:rFonts w:cs="Tahoma"/>
          <w:bCs/>
          <w:lang w:val="en-GB"/>
        </w:rPr>
        <w:t xml:space="preserve">representatives of </w:t>
      </w:r>
      <w:r w:rsidRPr="00FA7FE1">
        <w:rPr>
          <w:rFonts w:cs="Tahoma"/>
          <w:bCs/>
          <w:lang w:val="en-GB"/>
        </w:rPr>
        <w:t xml:space="preserve">the </w:t>
      </w:r>
      <w:r w:rsidR="0048639A" w:rsidRPr="00FA7FE1">
        <w:rPr>
          <w:rFonts w:cs="Tahoma"/>
          <w:bCs/>
          <w:lang w:val="en-GB"/>
        </w:rPr>
        <w:t xml:space="preserve">Georgian central government </w:t>
      </w:r>
      <w:r w:rsidRPr="00FA7FE1">
        <w:rPr>
          <w:rFonts w:cs="Tahoma"/>
          <w:bCs/>
          <w:lang w:val="en-GB"/>
        </w:rPr>
        <w:t xml:space="preserve">informed the delegation that, since the end of January, medical checks </w:t>
      </w:r>
      <w:r w:rsidR="001A1F9A" w:rsidRPr="00FA7FE1">
        <w:rPr>
          <w:rFonts w:cs="Tahoma"/>
          <w:bCs/>
          <w:lang w:val="en-GB"/>
        </w:rPr>
        <w:t>have been</w:t>
      </w:r>
      <w:r w:rsidRPr="00FA7FE1">
        <w:rPr>
          <w:rFonts w:cs="Tahoma"/>
          <w:bCs/>
          <w:lang w:val="en-GB"/>
        </w:rPr>
        <w:t xml:space="preserve"> conducted by </w:t>
      </w:r>
      <w:r w:rsidR="001A1F9A" w:rsidRPr="00FA7FE1">
        <w:rPr>
          <w:rFonts w:cs="Tahoma"/>
          <w:bCs/>
          <w:lang w:val="en-GB"/>
        </w:rPr>
        <w:t xml:space="preserve">the </w:t>
      </w:r>
      <w:r w:rsidRPr="00FA7FE1">
        <w:rPr>
          <w:rFonts w:cs="Tahoma"/>
          <w:bCs/>
          <w:i/>
          <w:iCs/>
          <w:lang w:val="en-GB"/>
        </w:rPr>
        <w:t>de facto</w:t>
      </w:r>
      <w:r w:rsidRPr="00FA7FE1">
        <w:rPr>
          <w:rFonts w:cs="Tahoma"/>
          <w:bCs/>
          <w:lang w:val="en-GB"/>
        </w:rPr>
        <w:t xml:space="preserve"> authorities on people crossing the bridge, reportedly to prevent the spreading of viral diseases in the region. These checks </w:t>
      </w:r>
      <w:r w:rsidR="00AA774D" w:rsidRPr="00FA7FE1">
        <w:rPr>
          <w:rFonts w:cs="Tahoma"/>
          <w:bCs/>
          <w:lang w:val="en-GB"/>
        </w:rPr>
        <w:t>were</w:t>
      </w:r>
      <w:r w:rsidRPr="00FA7FE1">
        <w:rPr>
          <w:rFonts w:cs="Tahoma"/>
          <w:bCs/>
          <w:lang w:val="en-GB"/>
        </w:rPr>
        <w:t xml:space="preserve"> expected to continue until the end of March. There </w:t>
      </w:r>
      <w:r w:rsidR="00275061" w:rsidRPr="00FA7FE1">
        <w:rPr>
          <w:rFonts w:cs="Tahoma"/>
          <w:bCs/>
          <w:lang w:val="en-GB"/>
        </w:rPr>
        <w:t xml:space="preserve">were </w:t>
      </w:r>
      <w:r w:rsidRPr="00FA7FE1">
        <w:rPr>
          <w:rFonts w:cs="Tahoma"/>
          <w:bCs/>
          <w:lang w:val="en-GB"/>
        </w:rPr>
        <w:t xml:space="preserve">concerns by the Georgian central government that </w:t>
      </w:r>
      <w:r w:rsidR="000D3EB0" w:rsidRPr="00FA7FE1">
        <w:rPr>
          <w:rFonts w:cs="Tahoma"/>
          <w:bCs/>
          <w:lang w:val="en-GB"/>
        </w:rPr>
        <w:t>this process</w:t>
      </w:r>
      <w:r w:rsidRPr="00FA7FE1">
        <w:rPr>
          <w:rFonts w:cs="Tahoma"/>
          <w:bCs/>
          <w:lang w:val="en-GB"/>
        </w:rPr>
        <w:t xml:space="preserve"> </w:t>
      </w:r>
      <w:r w:rsidR="001A1F9A" w:rsidRPr="00FA7FE1">
        <w:rPr>
          <w:rFonts w:cs="Tahoma"/>
          <w:bCs/>
          <w:lang w:val="en-GB"/>
        </w:rPr>
        <w:t>might</w:t>
      </w:r>
      <w:r w:rsidRPr="00FA7FE1">
        <w:rPr>
          <w:rFonts w:cs="Tahoma"/>
          <w:bCs/>
          <w:lang w:val="en-GB"/>
        </w:rPr>
        <w:t xml:space="preserve"> be used to</w:t>
      </w:r>
      <w:r w:rsidR="001A1F9A" w:rsidRPr="00FA7FE1">
        <w:rPr>
          <w:rFonts w:cs="Tahoma"/>
          <w:bCs/>
          <w:lang w:val="en-GB"/>
        </w:rPr>
        <w:t xml:space="preserve"> restrict</w:t>
      </w:r>
      <w:r w:rsidRPr="00FA7FE1">
        <w:rPr>
          <w:rFonts w:cs="Tahoma"/>
          <w:bCs/>
          <w:lang w:val="en-GB"/>
        </w:rPr>
        <w:t xml:space="preserve"> further freedom of movement.</w:t>
      </w:r>
      <w:r w:rsidR="00275061" w:rsidRPr="00FA7FE1">
        <w:rPr>
          <w:rStyle w:val="FootnoteReference"/>
          <w:rFonts w:cs="Tahoma"/>
          <w:bCs/>
          <w:lang w:val="en-GB"/>
        </w:rPr>
        <w:footnoteReference w:id="11"/>
      </w:r>
    </w:p>
    <w:p w14:paraId="0060BD9F" w14:textId="77777777" w:rsidR="00EE73E4" w:rsidRPr="00FA7FE1" w:rsidRDefault="00EE73E4" w:rsidP="00CA7654">
      <w:pPr>
        <w:pStyle w:val="ListParagraph"/>
        <w:rPr>
          <w:rFonts w:cs="Tahoma"/>
          <w:bCs/>
          <w:lang w:val="en-GB"/>
        </w:rPr>
      </w:pPr>
    </w:p>
    <w:p w14:paraId="6EE5C919" w14:textId="177DFA47" w:rsidR="00EE73E4" w:rsidRPr="00FA7FE1" w:rsidRDefault="00EE73E4" w:rsidP="00B62E85">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FA7FE1">
        <w:rPr>
          <w:rFonts w:cs="Tahoma"/>
          <w:bCs/>
          <w:lang w:val="en-GB"/>
        </w:rPr>
        <w:t xml:space="preserve">In addition to already existing restrictions, the </w:t>
      </w:r>
      <w:r w:rsidR="0048639A" w:rsidRPr="00FA7FE1">
        <w:rPr>
          <w:rFonts w:cs="Tahoma"/>
          <w:bCs/>
          <w:lang w:val="en-GB"/>
        </w:rPr>
        <w:t xml:space="preserve">Georgian authorities </w:t>
      </w:r>
      <w:r w:rsidRPr="00FA7FE1">
        <w:rPr>
          <w:rFonts w:cs="Tahoma"/>
          <w:bCs/>
          <w:lang w:val="en-GB"/>
        </w:rPr>
        <w:t xml:space="preserve">highlighted that people willing to pass the </w:t>
      </w:r>
      <w:r w:rsidR="00A87F30" w:rsidRPr="00FA7FE1">
        <w:rPr>
          <w:rFonts w:cs="Tahoma"/>
          <w:bCs/>
          <w:lang w:val="en-GB"/>
        </w:rPr>
        <w:t>Administrative Boundary Line</w:t>
      </w:r>
      <w:r w:rsidRPr="00FA7FE1">
        <w:rPr>
          <w:rFonts w:cs="Tahoma"/>
          <w:bCs/>
          <w:lang w:val="en-GB"/>
        </w:rPr>
        <w:t xml:space="preserve"> also regularly face </w:t>
      </w:r>
      <w:r w:rsidR="00066731" w:rsidRPr="00FA7FE1">
        <w:rPr>
          <w:rFonts w:cs="Tahoma"/>
          <w:bCs/>
          <w:lang w:val="en-GB"/>
        </w:rPr>
        <w:t>various</w:t>
      </w:r>
      <w:r w:rsidRPr="00FA7FE1">
        <w:rPr>
          <w:rFonts w:cs="Tahoma"/>
          <w:bCs/>
          <w:lang w:val="en-GB"/>
        </w:rPr>
        <w:t xml:space="preserve"> obstacles in an arbitrary </w:t>
      </w:r>
      <w:r w:rsidR="00AA774D" w:rsidRPr="00FA7FE1">
        <w:rPr>
          <w:rFonts w:cs="Tahoma"/>
          <w:bCs/>
          <w:lang w:val="en-GB"/>
        </w:rPr>
        <w:t>manner</w:t>
      </w:r>
      <w:r w:rsidRPr="00FA7FE1">
        <w:rPr>
          <w:rFonts w:cs="Tahoma"/>
          <w:bCs/>
          <w:lang w:val="en-GB"/>
        </w:rPr>
        <w:t xml:space="preserve">. </w:t>
      </w:r>
    </w:p>
    <w:p w14:paraId="22D18EEB" w14:textId="77777777" w:rsidR="00EE73E4" w:rsidRPr="00FA7FE1" w:rsidRDefault="00EE73E4" w:rsidP="00CA7654">
      <w:pPr>
        <w:pStyle w:val="ListParagraph"/>
        <w:rPr>
          <w:rFonts w:cs="Tahoma"/>
          <w:bCs/>
          <w:lang w:val="en-GB"/>
        </w:rPr>
      </w:pPr>
    </w:p>
    <w:p w14:paraId="737A96CB" w14:textId="79815F01" w:rsidR="00F21618" w:rsidRPr="00FA7FE1" w:rsidRDefault="00EE73E4" w:rsidP="00F21618">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FA7FE1">
        <w:rPr>
          <w:rFonts w:cs="Tahoma"/>
          <w:bCs/>
          <w:lang w:val="en-GB"/>
        </w:rPr>
        <w:t>There are no developments to report with respect to the issue of crossing documentation. It is recalled that the absence of crossing documentation remains a major freedom of movement constraint</w:t>
      </w:r>
      <w:r w:rsidR="00AA774D" w:rsidRPr="00FA7FE1">
        <w:rPr>
          <w:rFonts w:cs="Tahoma"/>
          <w:bCs/>
          <w:lang w:val="en-GB"/>
        </w:rPr>
        <w:t xml:space="preserve"> for the people </w:t>
      </w:r>
      <w:r w:rsidR="00FC5DAE" w:rsidRPr="00FA7FE1">
        <w:rPr>
          <w:rFonts w:cs="Tahoma"/>
          <w:bCs/>
          <w:lang w:val="en-GB"/>
        </w:rPr>
        <w:t>affected</w:t>
      </w:r>
      <w:r w:rsidRPr="00FA7FE1">
        <w:rPr>
          <w:rFonts w:cs="Tahoma"/>
          <w:bCs/>
          <w:lang w:val="en-GB"/>
        </w:rPr>
        <w:t>.</w:t>
      </w:r>
      <w:r w:rsidR="00E50E49" w:rsidRPr="00FA7FE1">
        <w:rPr>
          <w:rFonts w:cs="Tahoma"/>
          <w:bCs/>
          <w:lang w:val="en-GB"/>
        </w:rPr>
        <w:t xml:space="preserve"> </w:t>
      </w:r>
      <w:r w:rsidR="001A1F9A" w:rsidRPr="00FA7FE1">
        <w:rPr>
          <w:rFonts w:cs="Tahoma"/>
          <w:bCs/>
          <w:lang w:val="en-GB"/>
        </w:rPr>
        <w:t>I</w:t>
      </w:r>
      <w:r w:rsidR="00AA774D" w:rsidRPr="00FA7FE1">
        <w:rPr>
          <w:rFonts w:cs="Tahoma"/>
          <w:bCs/>
          <w:lang w:val="en-GB"/>
        </w:rPr>
        <w:t>n that regard, c</w:t>
      </w:r>
      <w:r w:rsidR="00E50E49" w:rsidRPr="00FA7FE1">
        <w:rPr>
          <w:rFonts w:cs="Tahoma"/>
          <w:bCs/>
          <w:lang w:val="en-GB"/>
        </w:rPr>
        <w:t xml:space="preserve">oncerns expressed </w:t>
      </w:r>
      <w:r w:rsidR="00E03A25">
        <w:rPr>
          <w:rFonts w:cs="Tahoma"/>
          <w:bCs/>
          <w:lang w:val="en-GB"/>
        </w:rPr>
        <w:t xml:space="preserve">on earlier occasions </w:t>
      </w:r>
      <w:r w:rsidR="001A1F9A" w:rsidRPr="00FA7FE1">
        <w:rPr>
          <w:rFonts w:cs="Tahoma"/>
          <w:bCs/>
          <w:lang w:val="en-GB"/>
        </w:rPr>
        <w:t>regarding</w:t>
      </w:r>
      <w:r w:rsidR="00E50E49" w:rsidRPr="00FA7FE1">
        <w:rPr>
          <w:rFonts w:cs="Tahoma"/>
          <w:bCs/>
          <w:lang w:val="en-GB"/>
        </w:rPr>
        <w:t xml:space="preserve"> the January 2019 restrictions barring ethnic Georgian holders of so-called old Abkhaz “passports” </w:t>
      </w:r>
      <w:r w:rsidR="003D5FEA" w:rsidRPr="00FA7FE1">
        <w:rPr>
          <w:rFonts w:cs="Tahoma"/>
          <w:bCs/>
          <w:lang w:val="en-GB"/>
        </w:rPr>
        <w:t>f</w:t>
      </w:r>
      <w:r w:rsidR="00E50E49" w:rsidRPr="00FA7FE1">
        <w:rPr>
          <w:rFonts w:cs="Tahoma"/>
          <w:bCs/>
          <w:lang w:val="en-GB"/>
        </w:rPr>
        <w:t xml:space="preserve">rom crossing the </w:t>
      </w:r>
      <w:r w:rsidR="00A87F30" w:rsidRPr="00FA7FE1">
        <w:rPr>
          <w:rFonts w:cs="Tahoma"/>
          <w:bCs/>
          <w:lang w:val="en-GB"/>
        </w:rPr>
        <w:t>Administrative Boundary Line</w:t>
      </w:r>
      <w:r w:rsidR="00E50E49" w:rsidRPr="00FA7FE1">
        <w:rPr>
          <w:rFonts w:cs="Tahoma"/>
          <w:bCs/>
          <w:lang w:val="en-GB"/>
        </w:rPr>
        <w:t xml:space="preserve"> persist, even though the so-called </w:t>
      </w:r>
      <w:r w:rsidR="003D5FEA" w:rsidRPr="00FA7FE1">
        <w:rPr>
          <w:rFonts w:cs="Tahoma"/>
          <w:bCs/>
          <w:lang w:val="en-GB"/>
        </w:rPr>
        <w:t xml:space="preserve">temporary </w:t>
      </w:r>
      <w:r w:rsidR="00D52F94" w:rsidRPr="00FA7FE1">
        <w:rPr>
          <w:rFonts w:cs="Tahoma"/>
          <w:bCs/>
          <w:lang w:val="en-GB"/>
        </w:rPr>
        <w:t>“</w:t>
      </w:r>
      <w:r w:rsidR="003D5FEA" w:rsidRPr="00FA7FE1">
        <w:rPr>
          <w:rFonts w:cs="Tahoma"/>
          <w:bCs/>
          <w:lang w:val="en-GB"/>
        </w:rPr>
        <w:t>document</w:t>
      </w:r>
      <w:r w:rsidR="00D52F94" w:rsidRPr="00FA7FE1">
        <w:rPr>
          <w:rFonts w:cs="Tahoma"/>
          <w:bCs/>
          <w:lang w:val="en-GB"/>
        </w:rPr>
        <w:t>”</w:t>
      </w:r>
      <w:r w:rsidR="00E50E49" w:rsidRPr="00FA7FE1">
        <w:rPr>
          <w:rFonts w:cs="Tahoma"/>
          <w:bCs/>
          <w:lang w:val="en-GB"/>
        </w:rPr>
        <w:t xml:space="preserve"> Form No. 9 </w:t>
      </w:r>
      <w:r w:rsidR="0048639A" w:rsidRPr="00FA7FE1">
        <w:rPr>
          <w:rFonts w:cs="Tahoma"/>
          <w:bCs/>
          <w:lang w:val="en-GB"/>
        </w:rPr>
        <w:t xml:space="preserve">is reported to </w:t>
      </w:r>
      <w:r w:rsidR="00E50E49" w:rsidRPr="00FA7FE1">
        <w:rPr>
          <w:rFonts w:cs="Tahoma"/>
          <w:bCs/>
          <w:lang w:val="en-GB"/>
        </w:rPr>
        <w:t xml:space="preserve">continue </w:t>
      </w:r>
      <w:r w:rsidR="001A1F9A" w:rsidRPr="00FA7FE1">
        <w:rPr>
          <w:rFonts w:cs="Tahoma"/>
          <w:bCs/>
          <w:lang w:val="en-GB"/>
        </w:rPr>
        <w:t>to be</w:t>
      </w:r>
      <w:r w:rsidR="00E50E49" w:rsidRPr="00FA7FE1">
        <w:rPr>
          <w:rFonts w:cs="Tahoma"/>
          <w:bCs/>
          <w:lang w:val="en-GB"/>
        </w:rPr>
        <w:t xml:space="preserve"> used</w:t>
      </w:r>
      <w:r w:rsidR="00BF3105" w:rsidRPr="00FA7FE1">
        <w:rPr>
          <w:rFonts w:cs="Tahoma"/>
          <w:bCs/>
          <w:lang w:val="en-GB"/>
        </w:rPr>
        <w:t xml:space="preserve"> in practice</w:t>
      </w:r>
      <w:r w:rsidR="00E50E49" w:rsidRPr="00FA7FE1">
        <w:rPr>
          <w:rFonts w:cs="Tahoma"/>
          <w:bCs/>
          <w:lang w:val="en-GB"/>
        </w:rPr>
        <w:t>.</w:t>
      </w:r>
      <w:r w:rsidR="00066731" w:rsidRPr="00FA7FE1">
        <w:rPr>
          <w:lang w:val="en-GB"/>
        </w:rPr>
        <w:t xml:space="preserve"> The use of these so</w:t>
      </w:r>
      <w:r w:rsidR="001A1F9A" w:rsidRPr="00FA7FE1">
        <w:rPr>
          <w:lang w:val="en-GB"/>
        </w:rPr>
        <w:t>-</w:t>
      </w:r>
      <w:r w:rsidR="00066731" w:rsidRPr="00FA7FE1">
        <w:rPr>
          <w:lang w:val="en-GB"/>
        </w:rPr>
        <w:t xml:space="preserve">called </w:t>
      </w:r>
      <w:r w:rsidR="001A1F9A" w:rsidRPr="00FA7FE1">
        <w:rPr>
          <w:lang w:val="en-GB"/>
        </w:rPr>
        <w:t xml:space="preserve">temporary </w:t>
      </w:r>
      <w:r w:rsidR="00066731" w:rsidRPr="00FA7FE1">
        <w:rPr>
          <w:lang w:val="en-GB"/>
        </w:rPr>
        <w:t>“documents” had been initially extended until the end of 2019.</w:t>
      </w:r>
    </w:p>
    <w:p w14:paraId="40F7F08B" w14:textId="77777777" w:rsidR="00F21618" w:rsidRPr="00FA7FE1" w:rsidRDefault="00F21618" w:rsidP="00CA7654">
      <w:pPr>
        <w:pStyle w:val="ListParagraph"/>
        <w:rPr>
          <w:rFonts w:cs="Tahoma"/>
          <w:bCs/>
          <w:lang w:val="en-GB"/>
        </w:rPr>
      </w:pPr>
    </w:p>
    <w:p w14:paraId="2413C18F" w14:textId="2AD70EC4" w:rsidR="00656DDC" w:rsidRPr="00FA7FE1" w:rsidRDefault="00F21618" w:rsidP="00656DDC">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FA7FE1">
        <w:rPr>
          <w:rFonts w:cs="Tahoma"/>
          <w:bCs/>
          <w:lang w:val="en-GB"/>
        </w:rPr>
        <w:t xml:space="preserve">All these measures combined continue to seriously limit people’s access to basic rights and services in </w:t>
      </w:r>
      <w:r w:rsidR="001A1F9A" w:rsidRPr="00FA7FE1">
        <w:rPr>
          <w:rFonts w:cs="Tahoma"/>
          <w:bCs/>
          <w:lang w:val="en-GB"/>
        </w:rPr>
        <w:t xml:space="preserve">the </w:t>
      </w:r>
      <w:r w:rsidRPr="00FA7FE1">
        <w:rPr>
          <w:rFonts w:cs="Tahoma"/>
          <w:bCs/>
          <w:lang w:val="en-GB"/>
        </w:rPr>
        <w:t>territory controlled by the Georgian central government, and to impact the humanitarian situation through disruption of access to livelihood opportunities.</w:t>
      </w:r>
      <w:r w:rsidR="00365D5B" w:rsidRPr="00FA7FE1">
        <w:rPr>
          <w:rFonts w:cs="Tahoma"/>
          <w:bCs/>
          <w:lang w:val="en-GB"/>
        </w:rPr>
        <w:t xml:space="preserve"> The situation was, overall, depicted </w:t>
      </w:r>
      <w:r w:rsidR="001A1F9A" w:rsidRPr="00FA7FE1">
        <w:rPr>
          <w:rFonts w:cs="Tahoma"/>
          <w:bCs/>
          <w:lang w:val="en-GB"/>
        </w:rPr>
        <w:t>to be</w:t>
      </w:r>
      <w:r w:rsidR="00365D5B" w:rsidRPr="00FA7FE1">
        <w:rPr>
          <w:rFonts w:cs="Tahoma"/>
          <w:bCs/>
          <w:lang w:val="en-GB"/>
        </w:rPr>
        <w:t xml:space="preserve"> worsening by </w:t>
      </w:r>
      <w:r w:rsidR="00066731" w:rsidRPr="00FA7FE1">
        <w:rPr>
          <w:rFonts w:cs="Tahoma"/>
          <w:bCs/>
          <w:lang w:val="en-GB"/>
        </w:rPr>
        <w:t xml:space="preserve">various </w:t>
      </w:r>
      <w:r w:rsidR="00365D5B" w:rsidRPr="00FA7FE1">
        <w:rPr>
          <w:rFonts w:cs="Tahoma"/>
          <w:bCs/>
          <w:lang w:val="en-GB"/>
        </w:rPr>
        <w:t xml:space="preserve">interlocutors. </w:t>
      </w:r>
    </w:p>
    <w:p w14:paraId="24F560F8" w14:textId="77777777" w:rsidR="00656DDC" w:rsidRPr="00FA7FE1" w:rsidRDefault="00656DDC" w:rsidP="00CA7654">
      <w:pPr>
        <w:pStyle w:val="ListParagraph"/>
        <w:rPr>
          <w:rFonts w:cs="Tahoma"/>
          <w:bCs/>
          <w:lang w:val="en-GB"/>
        </w:rPr>
      </w:pPr>
    </w:p>
    <w:p w14:paraId="3298B90D" w14:textId="170E360D" w:rsidR="00656DDC" w:rsidRPr="00FA7FE1" w:rsidRDefault="00656DDC" w:rsidP="00CA7654">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FA7FE1">
        <w:rPr>
          <w:rFonts w:cs="Tahoma"/>
          <w:bCs/>
          <w:lang w:val="en-GB"/>
        </w:rPr>
        <w:t xml:space="preserve">Against this background, cases of </w:t>
      </w:r>
      <w:r w:rsidR="00A87F30" w:rsidRPr="00FA7FE1">
        <w:rPr>
          <w:rFonts w:cs="Tahoma"/>
          <w:bCs/>
          <w:lang w:val="en-GB"/>
        </w:rPr>
        <w:t xml:space="preserve">arbitrary </w:t>
      </w:r>
      <w:r w:rsidRPr="00FA7FE1">
        <w:rPr>
          <w:rFonts w:cs="Tahoma"/>
          <w:bCs/>
          <w:lang w:val="en-GB"/>
        </w:rPr>
        <w:t xml:space="preserve">detention for </w:t>
      </w:r>
      <w:r w:rsidR="00CC0828" w:rsidRPr="00FA7FE1">
        <w:rPr>
          <w:rFonts w:cs="Tahoma"/>
          <w:bCs/>
          <w:lang w:val="en-GB"/>
        </w:rPr>
        <w:t xml:space="preserve">crossing outside the so-called </w:t>
      </w:r>
      <w:r w:rsidR="00066731" w:rsidRPr="00FA7FE1">
        <w:rPr>
          <w:rFonts w:cs="Tahoma"/>
          <w:bCs/>
          <w:lang w:val="en-GB"/>
        </w:rPr>
        <w:t>“</w:t>
      </w:r>
      <w:r w:rsidR="00CC0828" w:rsidRPr="00FA7FE1">
        <w:rPr>
          <w:rFonts w:cs="Tahoma"/>
          <w:bCs/>
          <w:lang w:val="en-GB"/>
        </w:rPr>
        <w:t>crossing points</w:t>
      </w:r>
      <w:r w:rsidR="00066731" w:rsidRPr="00FA7FE1">
        <w:rPr>
          <w:rFonts w:cs="Tahoma"/>
          <w:bCs/>
          <w:lang w:val="en-GB"/>
        </w:rPr>
        <w:t>”</w:t>
      </w:r>
      <w:r w:rsidR="00CC0828" w:rsidRPr="00FA7FE1">
        <w:rPr>
          <w:rFonts w:cs="Tahoma"/>
          <w:bCs/>
          <w:lang w:val="en-GB"/>
        </w:rPr>
        <w:t xml:space="preserve"> continue to be reported. </w:t>
      </w:r>
      <w:r w:rsidR="00BF3105" w:rsidRPr="00FA7FE1">
        <w:rPr>
          <w:rFonts w:cs="Tahoma"/>
          <w:bCs/>
          <w:lang w:val="en-GB"/>
        </w:rPr>
        <w:t>T</w:t>
      </w:r>
      <w:r w:rsidR="00CC0828" w:rsidRPr="00FA7FE1">
        <w:rPr>
          <w:rFonts w:cs="Tahoma"/>
          <w:bCs/>
          <w:lang w:val="en-GB"/>
        </w:rPr>
        <w:t xml:space="preserve">he trend </w:t>
      </w:r>
      <w:r w:rsidR="00BF3105" w:rsidRPr="00FA7FE1">
        <w:rPr>
          <w:rFonts w:cs="Tahoma"/>
          <w:bCs/>
          <w:lang w:val="en-GB"/>
        </w:rPr>
        <w:t>is said to</w:t>
      </w:r>
      <w:r w:rsidR="00CC0828" w:rsidRPr="00FA7FE1">
        <w:rPr>
          <w:rFonts w:cs="Tahoma"/>
          <w:bCs/>
          <w:lang w:val="en-GB"/>
        </w:rPr>
        <w:t xml:space="preserve"> be</w:t>
      </w:r>
      <w:r w:rsidR="00C971C1" w:rsidRPr="00FA7FE1">
        <w:rPr>
          <w:rFonts w:cs="Tahoma"/>
          <w:bCs/>
          <w:lang w:val="en-GB"/>
        </w:rPr>
        <w:t xml:space="preserve"> </w:t>
      </w:r>
      <w:r w:rsidR="00CC0828" w:rsidRPr="00FA7FE1">
        <w:rPr>
          <w:rFonts w:cs="Tahoma"/>
          <w:bCs/>
          <w:lang w:val="en-GB"/>
        </w:rPr>
        <w:t>decreasing</w:t>
      </w:r>
      <w:r w:rsidR="001A1F9A" w:rsidRPr="00FA7FE1">
        <w:rPr>
          <w:rFonts w:cs="Tahoma"/>
          <w:bCs/>
          <w:lang w:val="en-GB"/>
        </w:rPr>
        <w:t xml:space="preserve"> slightly</w:t>
      </w:r>
      <w:r w:rsidR="00CC0828" w:rsidRPr="00FA7FE1">
        <w:rPr>
          <w:rFonts w:cs="Tahoma"/>
          <w:bCs/>
          <w:lang w:val="en-GB"/>
        </w:rPr>
        <w:t>,</w:t>
      </w:r>
      <w:r w:rsidR="00BF3105" w:rsidRPr="00FA7FE1">
        <w:rPr>
          <w:rFonts w:cs="Tahoma"/>
          <w:bCs/>
          <w:lang w:val="en-GB"/>
        </w:rPr>
        <w:t xml:space="preserve"> but</w:t>
      </w:r>
      <w:r w:rsidR="00C971C1" w:rsidRPr="00FA7FE1">
        <w:rPr>
          <w:rFonts w:cs="Tahoma"/>
          <w:bCs/>
          <w:lang w:val="en-GB"/>
        </w:rPr>
        <w:t xml:space="preserve"> </w:t>
      </w:r>
      <w:r w:rsidR="00AA774D" w:rsidRPr="00FA7FE1">
        <w:rPr>
          <w:rFonts w:cs="Tahoma"/>
          <w:bCs/>
          <w:lang w:val="en-GB"/>
        </w:rPr>
        <w:t>mostly because of</w:t>
      </w:r>
      <w:r w:rsidR="00C971C1" w:rsidRPr="00FA7FE1">
        <w:rPr>
          <w:rFonts w:cs="Tahoma"/>
          <w:bCs/>
          <w:lang w:val="en-GB"/>
        </w:rPr>
        <w:t xml:space="preserve"> the dissuasive impact of </w:t>
      </w:r>
      <w:r w:rsidR="00D83234" w:rsidRPr="00FA7FE1">
        <w:rPr>
          <w:rFonts w:cs="Tahoma"/>
          <w:bCs/>
          <w:lang w:val="en-GB"/>
        </w:rPr>
        <w:t>current</w:t>
      </w:r>
      <w:r w:rsidR="00C971C1" w:rsidRPr="00FA7FE1">
        <w:rPr>
          <w:rFonts w:cs="Tahoma"/>
          <w:bCs/>
          <w:lang w:val="en-GB"/>
        </w:rPr>
        <w:t xml:space="preserve"> restrictions.</w:t>
      </w:r>
    </w:p>
    <w:p w14:paraId="2800095B" w14:textId="77777777" w:rsidR="00656DDC" w:rsidRPr="00FA7FE1" w:rsidRDefault="00656DDC" w:rsidP="00CA7654">
      <w:pPr>
        <w:pStyle w:val="ListParagraph"/>
        <w:rPr>
          <w:rFonts w:cs="Tahoma"/>
          <w:bCs/>
          <w:lang w:val="en-GB"/>
        </w:rPr>
      </w:pPr>
    </w:p>
    <w:p w14:paraId="1B886168" w14:textId="7B42400F" w:rsidR="001969B6" w:rsidRPr="00FA7FE1" w:rsidRDefault="000D3EB0" w:rsidP="00CA7654">
      <w:pPr>
        <w:pStyle w:val="NormalWeb"/>
        <w:widowControl w:val="0"/>
        <w:numPr>
          <w:ilvl w:val="0"/>
          <w:numId w:val="5"/>
        </w:numPr>
        <w:tabs>
          <w:tab w:val="clear" w:pos="360"/>
          <w:tab w:val="num" w:pos="0"/>
        </w:tabs>
        <w:spacing w:before="0" w:beforeAutospacing="0" w:after="0" w:afterAutospacing="0"/>
        <w:ind w:left="0" w:firstLine="0"/>
        <w:jc w:val="both"/>
        <w:rPr>
          <w:rFonts w:cs="Tahoma"/>
          <w:bCs/>
          <w:lang w:val="en-GB"/>
        </w:rPr>
      </w:pPr>
      <w:r w:rsidRPr="00FA7FE1">
        <w:rPr>
          <w:rFonts w:cs="Tahoma"/>
          <w:bCs/>
          <w:lang w:val="en-GB"/>
        </w:rPr>
        <w:t>Urgent m</w:t>
      </w:r>
      <w:r w:rsidR="00F21618" w:rsidRPr="00FA7FE1">
        <w:rPr>
          <w:rFonts w:cs="Tahoma"/>
          <w:bCs/>
          <w:lang w:val="en-GB"/>
        </w:rPr>
        <w:t xml:space="preserve">edical </w:t>
      </w:r>
      <w:r w:rsidRPr="00FA7FE1">
        <w:rPr>
          <w:rFonts w:cs="Tahoma"/>
          <w:bCs/>
          <w:lang w:val="en-GB"/>
        </w:rPr>
        <w:t>evacuations</w:t>
      </w:r>
      <w:r w:rsidR="00F21618" w:rsidRPr="00FA7FE1">
        <w:rPr>
          <w:rFonts w:cs="Tahoma"/>
          <w:bCs/>
          <w:lang w:val="en-GB"/>
        </w:rPr>
        <w:t xml:space="preserve"> </w:t>
      </w:r>
      <w:r w:rsidRPr="00FA7FE1">
        <w:rPr>
          <w:rFonts w:cs="Tahoma"/>
          <w:bCs/>
          <w:lang w:val="en-GB"/>
        </w:rPr>
        <w:t xml:space="preserve">are also affected as they continue to require clearance by </w:t>
      </w:r>
      <w:r w:rsidR="00791816" w:rsidRPr="00FA7FE1">
        <w:rPr>
          <w:rFonts w:cs="Tahoma"/>
          <w:bCs/>
          <w:lang w:val="en-GB"/>
        </w:rPr>
        <w:t xml:space="preserve">the </w:t>
      </w:r>
      <w:r w:rsidRPr="00FA7FE1">
        <w:rPr>
          <w:rFonts w:cs="Tahoma"/>
          <w:bCs/>
          <w:i/>
          <w:iCs/>
          <w:lang w:val="en-GB"/>
        </w:rPr>
        <w:t>de facto</w:t>
      </w:r>
      <w:r w:rsidRPr="00FA7FE1">
        <w:rPr>
          <w:rFonts w:cs="Tahoma"/>
          <w:bCs/>
          <w:lang w:val="en-GB"/>
        </w:rPr>
        <w:t xml:space="preserve"> authorities. </w:t>
      </w:r>
    </w:p>
    <w:p w14:paraId="36DE01D7" w14:textId="77777777" w:rsidR="000722F6" w:rsidRPr="00FA7FE1" w:rsidRDefault="000722F6" w:rsidP="00976CDB">
      <w:pPr>
        <w:pStyle w:val="NormalWeb"/>
        <w:spacing w:before="0" w:beforeAutospacing="0" w:after="0" w:afterAutospacing="0"/>
        <w:jc w:val="both"/>
        <w:rPr>
          <w:rFonts w:cs="Tahoma"/>
          <w:bCs/>
          <w:lang w:val="en-GB"/>
        </w:rPr>
      </w:pPr>
    </w:p>
    <w:p w14:paraId="7DF9631A" w14:textId="77777777" w:rsidR="00CD577B" w:rsidRPr="00FA7FE1" w:rsidRDefault="00EA279F" w:rsidP="00976CDB">
      <w:pPr>
        <w:pStyle w:val="NormalWeb"/>
        <w:tabs>
          <w:tab w:val="left" w:pos="993"/>
        </w:tabs>
        <w:autoSpaceDE w:val="0"/>
        <w:autoSpaceDN w:val="0"/>
        <w:adjustRightInd w:val="0"/>
        <w:spacing w:before="0" w:beforeAutospacing="0" w:after="0" w:afterAutospacing="0"/>
        <w:jc w:val="both"/>
        <w:rPr>
          <w:rFonts w:cs="Tahoma"/>
          <w:i/>
          <w:lang w:val="en-GB"/>
        </w:rPr>
      </w:pPr>
      <w:r w:rsidRPr="00FA7FE1">
        <w:rPr>
          <w:rFonts w:cs="Tahoma"/>
          <w:i/>
          <w:lang w:val="en-GB"/>
        </w:rPr>
        <w:t>III.1.ii</w:t>
      </w:r>
      <w:r w:rsidR="00FF427D" w:rsidRPr="00FA7FE1">
        <w:rPr>
          <w:rFonts w:cs="Tahoma"/>
          <w:i/>
          <w:lang w:val="en-GB"/>
        </w:rPr>
        <w:t>i</w:t>
      </w:r>
      <w:r w:rsidRPr="00FA7FE1">
        <w:rPr>
          <w:rFonts w:cs="Tahoma"/>
          <w:i/>
          <w:lang w:val="en-GB"/>
        </w:rPr>
        <w:tab/>
      </w:r>
      <w:r w:rsidR="00C41E0B" w:rsidRPr="00FA7FE1">
        <w:rPr>
          <w:rFonts w:cs="Tahoma"/>
          <w:i/>
          <w:lang w:val="en-GB"/>
        </w:rPr>
        <w:t xml:space="preserve">Identity </w:t>
      </w:r>
      <w:r w:rsidR="00FC29F9" w:rsidRPr="00FA7FE1">
        <w:rPr>
          <w:rFonts w:cs="Tahoma"/>
          <w:i/>
          <w:lang w:val="en-GB"/>
        </w:rPr>
        <w:t>d</w:t>
      </w:r>
      <w:r w:rsidR="00C41E0B" w:rsidRPr="00FA7FE1">
        <w:rPr>
          <w:rFonts w:cs="Tahoma"/>
          <w:i/>
          <w:lang w:val="en-GB"/>
        </w:rPr>
        <w:t xml:space="preserve">ocuments </w:t>
      </w:r>
    </w:p>
    <w:p w14:paraId="635BE004" w14:textId="77777777" w:rsidR="00CD577B" w:rsidRPr="00FA7FE1" w:rsidRDefault="00CD577B" w:rsidP="00976CDB">
      <w:pPr>
        <w:pStyle w:val="NormalWeb"/>
        <w:tabs>
          <w:tab w:val="left" w:pos="993"/>
        </w:tabs>
        <w:autoSpaceDE w:val="0"/>
        <w:autoSpaceDN w:val="0"/>
        <w:adjustRightInd w:val="0"/>
        <w:spacing w:before="0" w:beforeAutospacing="0" w:after="0" w:afterAutospacing="0"/>
        <w:jc w:val="both"/>
        <w:rPr>
          <w:rFonts w:cs="Tahoma"/>
          <w:i/>
          <w:lang w:val="en-GB"/>
        </w:rPr>
      </w:pPr>
    </w:p>
    <w:p w14:paraId="4102FD34" w14:textId="173C5523" w:rsidR="00D83234" w:rsidRPr="00FA7FE1" w:rsidRDefault="00A8493D" w:rsidP="00D83234">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FA7FE1">
        <w:rPr>
          <w:lang w:val="en-GB"/>
        </w:rPr>
        <w:t>The documentation gap continued to have an adverse impact on the status and effective enjoyment of rights of the ethnic Georgian population living in Gali but also</w:t>
      </w:r>
      <w:r w:rsidR="001C799B" w:rsidRPr="00FA7FE1">
        <w:rPr>
          <w:lang w:val="en-GB"/>
        </w:rPr>
        <w:t xml:space="preserve"> in</w:t>
      </w:r>
      <w:r w:rsidRPr="00FA7FE1">
        <w:rPr>
          <w:lang w:val="en-GB"/>
        </w:rPr>
        <w:t xml:space="preserve"> Ochamchir</w:t>
      </w:r>
      <w:r w:rsidR="001C799B" w:rsidRPr="00FA7FE1">
        <w:rPr>
          <w:lang w:val="en-GB"/>
        </w:rPr>
        <w:t>e</w:t>
      </w:r>
      <w:r w:rsidRPr="00FA7FE1">
        <w:rPr>
          <w:lang w:val="en-GB"/>
        </w:rPr>
        <w:t xml:space="preserve"> and Tkvarcheli. </w:t>
      </w:r>
    </w:p>
    <w:p w14:paraId="4395CE6F" w14:textId="77777777" w:rsidR="00D83234" w:rsidRPr="00FA7FE1" w:rsidRDefault="00D83234" w:rsidP="00CA7654">
      <w:pPr>
        <w:pStyle w:val="NormalWeb"/>
        <w:spacing w:before="0" w:beforeAutospacing="0" w:after="0" w:afterAutospacing="0"/>
        <w:jc w:val="both"/>
        <w:rPr>
          <w:rFonts w:cs="Tahoma"/>
          <w:bCs/>
          <w:lang w:val="en-GB"/>
        </w:rPr>
      </w:pPr>
    </w:p>
    <w:p w14:paraId="0EC0C1ED" w14:textId="4DB63B35" w:rsidR="00D83234" w:rsidRPr="00FA7FE1" w:rsidRDefault="00D83234" w:rsidP="00D83234">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FA7FE1">
        <w:rPr>
          <w:rFonts w:cs="Tahoma"/>
          <w:bCs/>
          <w:lang w:val="en-GB"/>
        </w:rPr>
        <w:t xml:space="preserve">The process of issuance of so-called </w:t>
      </w:r>
      <w:r w:rsidRPr="00FA7FE1">
        <w:rPr>
          <w:lang w:val="en-GB"/>
        </w:rPr>
        <w:t>“foreign permanent residence permit</w:t>
      </w:r>
      <w:r w:rsidR="001A1F9A" w:rsidRPr="00FA7FE1">
        <w:rPr>
          <w:lang w:val="en-GB"/>
        </w:rPr>
        <w:t>s</w:t>
      </w:r>
      <w:r w:rsidRPr="00FA7FE1">
        <w:rPr>
          <w:lang w:val="en-GB"/>
        </w:rPr>
        <w:t xml:space="preserve">” </w:t>
      </w:r>
      <w:r w:rsidRPr="00FA7FE1">
        <w:rPr>
          <w:rFonts w:cs="Tahoma"/>
          <w:bCs/>
          <w:lang w:val="en-GB"/>
        </w:rPr>
        <w:t xml:space="preserve">continues to be problematic. There are no major developments to report </w:t>
      </w:r>
      <w:r w:rsidR="001A1F9A" w:rsidRPr="00FA7FE1">
        <w:rPr>
          <w:rFonts w:cs="Tahoma"/>
          <w:bCs/>
          <w:lang w:val="en-GB"/>
        </w:rPr>
        <w:t>i</w:t>
      </w:r>
      <w:r w:rsidRPr="00FA7FE1">
        <w:rPr>
          <w:rFonts w:cs="Tahoma"/>
          <w:bCs/>
          <w:lang w:val="en-GB"/>
        </w:rPr>
        <w:t xml:space="preserve">n that regard for the reporting period, let alone difficulties for the people concerned to obtain clear information, a slight decrease in the number of applications and/or reluctance to being assimilated to so-called “foreigners” – as reported by interlocutors. </w:t>
      </w:r>
    </w:p>
    <w:p w14:paraId="2F1B8345" w14:textId="77777777" w:rsidR="00D83234" w:rsidRPr="00FA7FE1" w:rsidRDefault="00D83234" w:rsidP="00CA7654">
      <w:pPr>
        <w:pStyle w:val="NormalWeb"/>
        <w:spacing w:before="0" w:beforeAutospacing="0" w:after="0" w:afterAutospacing="0"/>
        <w:jc w:val="both"/>
        <w:rPr>
          <w:rFonts w:cs="Tahoma"/>
          <w:bCs/>
          <w:lang w:val="en-GB"/>
        </w:rPr>
      </w:pPr>
    </w:p>
    <w:p w14:paraId="1094404E" w14:textId="40093171" w:rsidR="00D83234" w:rsidRPr="00FA7FE1" w:rsidRDefault="009625D6">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FA7FE1">
        <w:rPr>
          <w:lang w:val="en-GB"/>
        </w:rPr>
        <w:t>To r</w:t>
      </w:r>
      <w:r w:rsidR="00A8493D" w:rsidRPr="00FA7FE1">
        <w:rPr>
          <w:lang w:val="en-GB"/>
        </w:rPr>
        <w:t xml:space="preserve">ecall, </w:t>
      </w:r>
      <w:r w:rsidR="004821CF" w:rsidRPr="00FA7FE1">
        <w:rPr>
          <w:lang w:val="en-GB"/>
        </w:rPr>
        <w:t xml:space="preserve">the large majority of ethnic Georgians are not entitled to obtain </w:t>
      </w:r>
      <w:r w:rsidR="001A1F9A" w:rsidRPr="00FA7FE1">
        <w:rPr>
          <w:lang w:val="en-GB"/>
        </w:rPr>
        <w:t xml:space="preserve">a </w:t>
      </w:r>
      <w:r w:rsidR="0089248C" w:rsidRPr="004B3999">
        <w:rPr>
          <w:lang w:val="en-GB"/>
        </w:rPr>
        <w:t>so-called</w:t>
      </w:r>
      <w:r w:rsidR="0089248C">
        <w:rPr>
          <w:i/>
          <w:iCs/>
          <w:lang w:val="en-GB"/>
        </w:rPr>
        <w:t xml:space="preserve"> </w:t>
      </w:r>
      <w:r w:rsidR="004821CF" w:rsidRPr="00FA7FE1">
        <w:rPr>
          <w:lang w:val="en-GB"/>
        </w:rPr>
        <w:t>Abkhaz “passport” if they possess Georgian citizenship.</w:t>
      </w:r>
      <w:r w:rsidR="004821CF" w:rsidRPr="00FA7FE1">
        <w:rPr>
          <w:rFonts w:cs="Tahoma"/>
          <w:bCs/>
          <w:lang w:val="en-GB"/>
        </w:rPr>
        <w:t xml:space="preserve"> Therefore, </w:t>
      </w:r>
      <w:r w:rsidR="00A8493D" w:rsidRPr="00FA7FE1">
        <w:rPr>
          <w:lang w:val="en-GB"/>
        </w:rPr>
        <w:t>obtaining the so-</w:t>
      </w:r>
      <w:r w:rsidR="00A8493D" w:rsidRPr="00FA7FE1">
        <w:rPr>
          <w:lang w:val="en-GB"/>
        </w:rPr>
        <w:lastRenderedPageBreak/>
        <w:t>called “foreign permanent residence permit”</w:t>
      </w:r>
      <w:r w:rsidR="00A8493D" w:rsidRPr="00FA7FE1">
        <w:rPr>
          <w:rStyle w:val="FootnoteReference"/>
          <w:lang w:val="en-GB"/>
        </w:rPr>
        <w:footnoteReference w:id="12"/>
      </w:r>
      <w:r w:rsidR="00A8493D" w:rsidRPr="00FA7FE1">
        <w:rPr>
          <w:lang w:val="en-GB"/>
        </w:rPr>
        <w:t xml:space="preserve"> is the only option for </w:t>
      </w:r>
      <w:r w:rsidR="004821CF" w:rsidRPr="00FA7FE1">
        <w:rPr>
          <w:lang w:val="en-GB"/>
        </w:rPr>
        <w:t xml:space="preserve">most of them in terms of being “authorised” to reside in the region. </w:t>
      </w:r>
      <w:r w:rsidR="00D83234" w:rsidRPr="00FA7FE1">
        <w:rPr>
          <w:rFonts w:cs="Tahoma"/>
          <w:bCs/>
          <w:lang w:val="en-GB"/>
        </w:rPr>
        <w:t>Overall, the people concerned by these issues remain very vulnerable.</w:t>
      </w:r>
    </w:p>
    <w:p w14:paraId="37FD7602" w14:textId="2E7A4B34" w:rsidR="00E64288" w:rsidRPr="00FA7FE1" w:rsidRDefault="00E64288" w:rsidP="00976CDB">
      <w:pPr>
        <w:pStyle w:val="NormalWeb"/>
        <w:spacing w:before="0" w:beforeAutospacing="0" w:after="0" w:afterAutospacing="0"/>
        <w:jc w:val="both"/>
        <w:rPr>
          <w:rFonts w:cs="Tahoma"/>
          <w:bCs/>
          <w:lang w:val="en-GB"/>
        </w:rPr>
      </w:pPr>
    </w:p>
    <w:p w14:paraId="11A4EBD8" w14:textId="77777777" w:rsidR="00E64288" w:rsidRPr="00FA7FE1" w:rsidRDefault="00E64288" w:rsidP="00976CDB">
      <w:pPr>
        <w:keepNext/>
        <w:tabs>
          <w:tab w:val="num" w:pos="0"/>
          <w:tab w:val="num" w:pos="993"/>
        </w:tabs>
        <w:jc w:val="both"/>
        <w:rPr>
          <w:rFonts w:cs="Tahoma"/>
          <w:i/>
          <w:lang w:val="en-GB"/>
        </w:rPr>
      </w:pPr>
      <w:r w:rsidRPr="00FA7FE1">
        <w:rPr>
          <w:rFonts w:cs="Tahoma"/>
          <w:i/>
          <w:lang w:val="en-GB"/>
        </w:rPr>
        <w:t>III.1.</w:t>
      </w:r>
      <w:r w:rsidR="00D177A3" w:rsidRPr="00FA7FE1">
        <w:rPr>
          <w:rFonts w:cs="Tahoma"/>
          <w:i/>
          <w:lang w:val="en-GB"/>
        </w:rPr>
        <w:t>i</w:t>
      </w:r>
      <w:r w:rsidRPr="00FA7FE1">
        <w:rPr>
          <w:rFonts w:cs="Tahoma"/>
          <w:i/>
          <w:lang w:val="en-GB"/>
        </w:rPr>
        <w:t>v</w:t>
      </w:r>
      <w:r w:rsidRPr="00FA7FE1">
        <w:rPr>
          <w:rFonts w:cs="Tahoma"/>
          <w:i/>
          <w:lang w:val="en-GB"/>
        </w:rPr>
        <w:tab/>
      </w:r>
      <w:r w:rsidR="00C704A5" w:rsidRPr="00FA7FE1">
        <w:rPr>
          <w:rFonts w:cs="Tahoma"/>
          <w:i/>
          <w:lang w:val="en-GB"/>
        </w:rPr>
        <w:t>Access to e</w:t>
      </w:r>
      <w:r w:rsidR="002E4F34" w:rsidRPr="00FA7FE1">
        <w:rPr>
          <w:rFonts w:cs="Tahoma"/>
          <w:i/>
          <w:lang w:val="en-GB"/>
        </w:rPr>
        <w:t>ducation</w:t>
      </w:r>
      <w:r w:rsidRPr="00FA7FE1">
        <w:rPr>
          <w:rFonts w:cs="Tahoma"/>
          <w:i/>
          <w:lang w:val="en-GB"/>
        </w:rPr>
        <w:t xml:space="preserve">, including teaching of/in the </w:t>
      </w:r>
      <w:r w:rsidR="000A3090" w:rsidRPr="00FA7FE1">
        <w:rPr>
          <w:rFonts w:cs="Tahoma"/>
          <w:i/>
          <w:lang w:val="en-GB"/>
        </w:rPr>
        <w:t>native</w:t>
      </w:r>
      <w:r w:rsidRPr="00FA7FE1">
        <w:rPr>
          <w:rFonts w:cs="Tahoma"/>
          <w:i/>
          <w:lang w:val="en-GB"/>
        </w:rPr>
        <w:t xml:space="preserve"> language</w:t>
      </w:r>
    </w:p>
    <w:p w14:paraId="7EF86B06" w14:textId="77777777" w:rsidR="00E64288" w:rsidRPr="00FA7FE1" w:rsidRDefault="00E64288" w:rsidP="00976CDB">
      <w:pPr>
        <w:keepNext/>
        <w:tabs>
          <w:tab w:val="num" w:pos="0"/>
          <w:tab w:val="num" w:pos="1800"/>
        </w:tabs>
        <w:jc w:val="both"/>
        <w:rPr>
          <w:rFonts w:cs="Tahoma"/>
          <w:lang w:val="en-GB"/>
        </w:rPr>
      </w:pPr>
    </w:p>
    <w:p w14:paraId="5AA7077E" w14:textId="28B62D2D" w:rsidR="00936B97" w:rsidRPr="00FA7FE1" w:rsidRDefault="00402D53" w:rsidP="00FF19A2">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FA7FE1">
        <w:rPr>
          <w:lang w:val="en-GB"/>
        </w:rPr>
        <w:t xml:space="preserve">As regards the situation of education in the Georgian language in schools in the Gali district, no </w:t>
      </w:r>
      <w:r w:rsidR="00170A70" w:rsidRPr="00FA7FE1">
        <w:rPr>
          <w:lang w:val="en-GB"/>
        </w:rPr>
        <w:t>progress has</w:t>
      </w:r>
      <w:r w:rsidRPr="00FA7FE1">
        <w:rPr>
          <w:lang w:val="en-GB"/>
        </w:rPr>
        <w:t xml:space="preserve"> been noted since the last report. </w:t>
      </w:r>
      <w:r w:rsidR="00FF19A2" w:rsidRPr="00FA7FE1">
        <w:rPr>
          <w:lang w:val="en-GB"/>
        </w:rPr>
        <w:t>Earlier expressed c</w:t>
      </w:r>
      <w:r w:rsidRPr="00FA7FE1">
        <w:rPr>
          <w:lang w:val="en-GB"/>
        </w:rPr>
        <w:t>oncerns on access to education in the native language</w:t>
      </w:r>
      <w:r w:rsidR="00FF19A2" w:rsidRPr="00FA7FE1">
        <w:rPr>
          <w:lang w:val="en-GB"/>
        </w:rPr>
        <w:t xml:space="preserve"> persist</w:t>
      </w:r>
      <w:r w:rsidRPr="00FA7FE1">
        <w:rPr>
          <w:lang w:val="en-GB"/>
        </w:rPr>
        <w:t>.</w:t>
      </w:r>
    </w:p>
    <w:p w14:paraId="0864CADF" w14:textId="77777777" w:rsidR="00936B97" w:rsidRPr="00FA7FE1" w:rsidRDefault="00936B97" w:rsidP="00CA7654">
      <w:pPr>
        <w:pStyle w:val="NormalWeb"/>
        <w:spacing w:before="0" w:beforeAutospacing="0" w:after="0" w:afterAutospacing="0"/>
        <w:jc w:val="both"/>
        <w:rPr>
          <w:rFonts w:cs="Tahoma"/>
          <w:bCs/>
          <w:lang w:val="en-GB"/>
        </w:rPr>
      </w:pPr>
    </w:p>
    <w:p w14:paraId="19D519ED" w14:textId="6B474F0B" w:rsidR="00170A70" w:rsidRPr="00FA7FE1" w:rsidRDefault="00066731" w:rsidP="00170A70">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FA7FE1">
        <w:rPr>
          <w:rFonts w:cs="Tahoma"/>
          <w:lang w:val="en-GB"/>
        </w:rPr>
        <w:t xml:space="preserve">According to the Georgian </w:t>
      </w:r>
      <w:r w:rsidR="00FC5DAE" w:rsidRPr="00FA7FE1">
        <w:rPr>
          <w:rFonts w:cs="Tahoma"/>
          <w:lang w:val="en-GB"/>
        </w:rPr>
        <w:t xml:space="preserve">central </w:t>
      </w:r>
      <w:r w:rsidRPr="00FA7FE1">
        <w:rPr>
          <w:rFonts w:cs="Tahoma"/>
          <w:lang w:val="en-GB"/>
        </w:rPr>
        <w:t xml:space="preserve">government, </w:t>
      </w:r>
      <w:r w:rsidRPr="00FA7FE1">
        <w:rPr>
          <w:rFonts w:cs="Tahoma"/>
          <w:bCs/>
          <w:lang w:val="en-GB"/>
        </w:rPr>
        <w:t>c</w:t>
      </w:r>
      <w:r w:rsidR="00170A70" w:rsidRPr="00FA7FE1">
        <w:rPr>
          <w:rFonts w:cs="Tahoma"/>
          <w:bCs/>
          <w:lang w:val="en-GB"/>
        </w:rPr>
        <w:t>urrently, in 11 schools of</w:t>
      </w:r>
      <w:r w:rsidR="001A1F9A" w:rsidRPr="00FA7FE1">
        <w:rPr>
          <w:rFonts w:cs="Tahoma"/>
          <w:bCs/>
          <w:lang w:val="en-GB"/>
        </w:rPr>
        <w:t xml:space="preserve"> the</w:t>
      </w:r>
      <w:r w:rsidR="00170A70" w:rsidRPr="00FA7FE1">
        <w:rPr>
          <w:rFonts w:cs="Tahoma"/>
          <w:bCs/>
          <w:lang w:val="en-GB"/>
        </w:rPr>
        <w:t xml:space="preserve"> Tkvarcheli and Ochamchire districts, </w:t>
      </w:r>
      <w:r w:rsidR="001A1F9A" w:rsidRPr="00FA7FE1">
        <w:rPr>
          <w:rFonts w:cs="Tahoma"/>
          <w:bCs/>
          <w:lang w:val="en-GB"/>
        </w:rPr>
        <w:t xml:space="preserve">the </w:t>
      </w:r>
      <w:r w:rsidR="00170A70" w:rsidRPr="00FA7FE1">
        <w:rPr>
          <w:rFonts w:cs="Tahoma"/>
          <w:bCs/>
          <w:lang w:val="en-GB"/>
        </w:rPr>
        <w:t xml:space="preserve">Georgian language and literature </w:t>
      </w:r>
      <w:r w:rsidR="004D201E" w:rsidRPr="00FA7FE1">
        <w:rPr>
          <w:rFonts w:cs="Tahoma"/>
          <w:bCs/>
          <w:lang w:val="en-GB"/>
        </w:rPr>
        <w:t>are</w:t>
      </w:r>
      <w:r w:rsidR="00170A70" w:rsidRPr="00FA7FE1">
        <w:rPr>
          <w:rFonts w:cs="Tahoma"/>
          <w:bCs/>
          <w:lang w:val="en-GB"/>
        </w:rPr>
        <w:t xml:space="preserve"> not taught at all. In </w:t>
      </w:r>
      <w:r w:rsidR="004D201E" w:rsidRPr="00FA7FE1">
        <w:rPr>
          <w:rFonts w:cs="Tahoma"/>
          <w:bCs/>
          <w:lang w:val="en-GB"/>
        </w:rPr>
        <w:t>one</w:t>
      </w:r>
      <w:r w:rsidR="00170A70" w:rsidRPr="00FA7FE1">
        <w:rPr>
          <w:rFonts w:cs="Tahoma"/>
          <w:bCs/>
          <w:lang w:val="en-GB"/>
        </w:rPr>
        <w:t xml:space="preserve"> out of</w:t>
      </w:r>
      <w:r w:rsidR="004D201E" w:rsidRPr="00FA7FE1">
        <w:rPr>
          <w:rFonts w:cs="Tahoma"/>
          <w:bCs/>
          <w:lang w:val="en-GB"/>
        </w:rPr>
        <w:t xml:space="preserve"> nine</w:t>
      </w:r>
      <w:r w:rsidR="00170A70" w:rsidRPr="00FA7FE1">
        <w:rPr>
          <w:rFonts w:cs="Tahoma"/>
          <w:bCs/>
          <w:lang w:val="en-GB"/>
        </w:rPr>
        <w:t xml:space="preserve"> schools in the Upper Gali, </w:t>
      </w:r>
      <w:r w:rsidR="004D201E" w:rsidRPr="00FA7FE1">
        <w:rPr>
          <w:rFonts w:cs="Tahoma"/>
          <w:bCs/>
          <w:lang w:val="en-GB"/>
        </w:rPr>
        <w:t xml:space="preserve">the </w:t>
      </w:r>
      <w:r w:rsidR="00170A70" w:rsidRPr="00FA7FE1">
        <w:rPr>
          <w:rFonts w:cs="Tahoma"/>
          <w:bCs/>
          <w:lang w:val="en-GB"/>
        </w:rPr>
        <w:t>native Georgian language is taught only in 5</w:t>
      </w:r>
      <w:r w:rsidR="00170A70" w:rsidRPr="00FA7FE1">
        <w:rPr>
          <w:rFonts w:cs="Tahoma"/>
          <w:bCs/>
          <w:vertAlign w:val="superscript"/>
          <w:lang w:val="en-GB"/>
        </w:rPr>
        <w:t>th</w:t>
      </w:r>
      <w:r w:rsidR="00170A70" w:rsidRPr="00FA7FE1">
        <w:rPr>
          <w:rFonts w:cs="Tahoma"/>
          <w:bCs/>
          <w:lang w:val="en-GB"/>
        </w:rPr>
        <w:t xml:space="preserve"> grade as a facultative subject and </w:t>
      </w:r>
      <w:r w:rsidR="004D201E" w:rsidRPr="00FA7FE1">
        <w:rPr>
          <w:rFonts w:cs="Tahoma"/>
          <w:bCs/>
          <w:lang w:val="en-GB"/>
        </w:rPr>
        <w:t xml:space="preserve">for </w:t>
      </w:r>
      <w:r w:rsidR="00170A70" w:rsidRPr="00FA7FE1">
        <w:rPr>
          <w:rFonts w:cs="Tahoma"/>
          <w:bCs/>
          <w:lang w:val="en-GB"/>
        </w:rPr>
        <w:t xml:space="preserve">only </w:t>
      </w:r>
      <w:r w:rsidR="004D201E" w:rsidRPr="00FA7FE1">
        <w:rPr>
          <w:rFonts w:cs="Tahoma"/>
          <w:bCs/>
          <w:lang w:val="en-GB"/>
        </w:rPr>
        <w:t>two</w:t>
      </w:r>
      <w:r w:rsidR="00170A70" w:rsidRPr="00FA7FE1">
        <w:rPr>
          <w:rFonts w:cs="Tahoma"/>
          <w:bCs/>
          <w:lang w:val="en-GB"/>
        </w:rPr>
        <w:t xml:space="preserve"> hours per week. In the remaining </w:t>
      </w:r>
      <w:r w:rsidR="004D201E" w:rsidRPr="00FA7FE1">
        <w:rPr>
          <w:rFonts w:cs="Tahoma"/>
          <w:bCs/>
          <w:lang w:val="en-GB"/>
        </w:rPr>
        <w:t>eight</w:t>
      </w:r>
      <w:r w:rsidR="00170A70" w:rsidRPr="00FA7FE1">
        <w:rPr>
          <w:rFonts w:cs="Tahoma"/>
          <w:bCs/>
          <w:lang w:val="en-GB"/>
        </w:rPr>
        <w:t xml:space="preserve"> schools, </w:t>
      </w:r>
      <w:r w:rsidR="004D201E" w:rsidRPr="00FA7FE1">
        <w:rPr>
          <w:rFonts w:cs="Tahoma"/>
          <w:bCs/>
          <w:lang w:val="en-GB"/>
        </w:rPr>
        <w:t>one</w:t>
      </w:r>
      <w:r w:rsidR="00170A70" w:rsidRPr="00FA7FE1">
        <w:rPr>
          <w:rFonts w:cs="Tahoma"/>
          <w:bCs/>
          <w:lang w:val="en-GB"/>
        </w:rPr>
        <w:t xml:space="preserve"> hour per week is devoted to Georgian language teaching and </w:t>
      </w:r>
      <w:r w:rsidR="004D201E" w:rsidRPr="00FA7FE1">
        <w:rPr>
          <w:rFonts w:cs="Tahoma"/>
          <w:bCs/>
          <w:lang w:val="en-GB"/>
        </w:rPr>
        <w:t>one</w:t>
      </w:r>
      <w:r w:rsidR="00170A70" w:rsidRPr="00FA7FE1">
        <w:rPr>
          <w:rFonts w:cs="Tahoma"/>
          <w:bCs/>
          <w:lang w:val="en-GB"/>
        </w:rPr>
        <w:t xml:space="preserve"> hour to Georgian literature. The rest of the subjects are taught in </w:t>
      </w:r>
      <w:r w:rsidRPr="00FA7FE1">
        <w:rPr>
          <w:rFonts w:cs="Tahoma"/>
          <w:bCs/>
          <w:lang w:val="en-GB"/>
        </w:rPr>
        <w:t xml:space="preserve">the </w:t>
      </w:r>
      <w:r w:rsidR="00170A70" w:rsidRPr="00FA7FE1">
        <w:rPr>
          <w:rFonts w:cs="Tahoma"/>
          <w:bCs/>
          <w:lang w:val="en-GB"/>
        </w:rPr>
        <w:t xml:space="preserve">Russian language. In the Lower Gali, teaching in </w:t>
      </w:r>
      <w:r w:rsidR="004D201E" w:rsidRPr="00FA7FE1">
        <w:rPr>
          <w:rFonts w:cs="Tahoma"/>
          <w:bCs/>
          <w:lang w:val="en-GB"/>
        </w:rPr>
        <w:t xml:space="preserve">the </w:t>
      </w:r>
      <w:r w:rsidR="00170A70" w:rsidRPr="00FA7FE1">
        <w:rPr>
          <w:rFonts w:cs="Tahoma"/>
          <w:bCs/>
          <w:lang w:val="en-GB"/>
        </w:rPr>
        <w:t>Georgian language is conducted only in 9</w:t>
      </w:r>
      <w:r w:rsidR="00170A70" w:rsidRPr="00FA7FE1">
        <w:rPr>
          <w:rFonts w:cs="Tahoma"/>
          <w:bCs/>
          <w:vertAlign w:val="superscript"/>
          <w:lang w:val="en-GB"/>
        </w:rPr>
        <w:t>th</w:t>
      </w:r>
      <w:r w:rsidR="00170A70" w:rsidRPr="00FA7FE1">
        <w:rPr>
          <w:rFonts w:cs="Tahoma"/>
          <w:bCs/>
          <w:lang w:val="en-GB"/>
        </w:rPr>
        <w:t>, 10</w:t>
      </w:r>
      <w:r w:rsidR="00170A70" w:rsidRPr="00FA7FE1">
        <w:rPr>
          <w:rFonts w:cs="Tahoma"/>
          <w:bCs/>
          <w:vertAlign w:val="superscript"/>
          <w:lang w:val="en-GB"/>
        </w:rPr>
        <w:t>th</w:t>
      </w:r>
      <w:r w:rsidR="004D201E" w:rsidRPr="00FA7FE1">
        <w:rPr>
          <w:rFonts w:cs="Tahoma"/>
          <w:bCs/>
          <w:lang w:val="en-GB"/>
        </w:rPr>
        <w:t xml:space="preserve"> and</w:t>
      </w:r>
      <w:r w:rsidR="00170A70" w:rsidRPr="00FA7FE1">
        <w:rPr>
          <w:rFonts w:cs="Tahoma"/>
          <w:bCs/>
          <w:lang w:val="en-GB"/>
        </w:rPr>
        <w:t xml:space="preserve"> 11</w:t>
      </w:r>
      <w:r w:rsidR="00170A70" w:rsidRPr="00FA7FE1">
        <w:rPr>
          <w:rFonts w:cs="Tahoma"/>
          <w:bCs/>
          <w:vertAlign w:val="superscript"/>
          <w:lang w:val="en-GB"/>
        </w:rPr>
        <w:t>th</w:t>
      </w:r>
      <w:r w:rsidR="00170A70" w:rsidRPr="00FA7FE1">
        <w:rPr>
          <w:rFonts w:cs="Tahoma"/>
          <w:bCs/>
          <w:lang w:val="en-GB"/>
        </w:rPr>
        <w:t xml:space="preserve"> grades, but </w:t>
      </w:r>
      <w:r w:rsidR="007C1FFE" w:rsidRPr="00FA7FE1">
        <w:rPr>
          <w:rFonts w:cs="Tahoma"/>
          <w:bCs/>
          <w:lang w:val="en-GB"/>
        </w:rPr>
        <w:t>h</w:t>
      </w:r>
      <w:r w:rsidR="00170A70" w:rsidRPr="00FA7FE1">
        <w:rPr>
          <w:rFonts w:cs="Tahoma"/>
          <w:bCs/>
          <w:lang w:val="en-GB"/>
        </w:rPr>
        <w:t xml:space="preserve">ours devoted to teaching </w:t>
      </w:r>
      <w:r w:rsidR="004D201E" w:rsidRPr="00FA7FE1">
        <w:rPr>
          <w:rFonts w:cs="Tahoma"/>
          <w:bCs/>
          <w:lang w:val="en-GB"/>
        </w:rPr>
        <w:t xml:space="preserve">the </w:t>
      </w:r>
      <w:r w:rsidR="00170A70" w:rsidRPr="00FA7FE1">
        <w:rPr>
          <w:rFonts w:cs="Tahoma"/>
          <w:bCs/>
          <w:lang w:val="en-GB"/>
        </w:rPr>
        <w:t xml:space="preserve">Georgian language </w:t>
      </w:r>
      <w:r w:rsidR="001C799B" w:rsidRPr="00FA7FE1">
        <w:rPr>
          <w:rFonts w:cs="Tahoma"/>
          <w:bCs/>
          <w:lang w:val="en-GB"/>
        </w:rPr>
        <w:t>were</w:t>
      </w:r>
      <w:r w:rsidR="00170A70" w:rsidRPr="00FA7FE1">
        <w:rPr>
          <w:rFonts w:cs="Tahoma"/>
          <w:bCs/>
          <w:lang w:val="en-GB"/>
        </w:rPr>
        <w:t xml:space="preserve"> reduced once again in September 2019 in </w:t>
      </w:r>
      <w:r w:rsidR="004D201E" w:rsidRPr="00FA7FE1">
        <w:rPr>
          <w:rFonts w:cs="Tahoma"/>
          <w:bCs/>
          <w:lang w:val="en-GB"/>
        </w:rPr>
        <w:t>ten</w:t>
      </w:r>
      <w:r w:rsidR="00170A70" w:rsidRPr="00FA7FE1">
        <w:rPr>
          <w:rFonts w:cs="Tahoma"/>
          <w:bCs/>
          <w:lang w:val="en-GB"/>
        </w:rPr>
        <w:t xml:space="preserve"> of the schools. Last year, at elementary level, </w:t>
      </w:r>
      <w:r w:rsidR="004D201E" w:rsidRPr="00FA7FE1">
        <w:rPr>
          <w:rFonts w:cs="Tahoma"/>
          <w:bCs/>
          <w:lang w:val="en-GB"/>
        </w:rPr>
        <w:t>one</w:t>
      </w:r>
      <w:r w:rsidR="00170A70" w:rsidRPr="00FA7FE1">
        <w:rPr>
          <w:rFonts w:cs="Tahoma"/>
          <w:bCs/>
          <w:lang w:val="en-GB"/>
        </w:rPr>
        <w:t xml:space="preserve"> hour per week was dedicated to </w:t>
      </w:r>
      <w:r w:rsidR="004D201E" w:rsidRPr="00FA7FE1">
        <w:rPr>
          <w:rFonts w:cs="Tahoma"/>
          <w:bCs/>
          <w:lang w:val="en-GB"/>
        </w:rPr>
        <w:t xml:space="preserve">the </w:t>
      </w:r>
      <w:r w:rsidR="00170A70" w:rsidRPr="00FA7FE1">
        <w:rPr>
          <w:rFonts w:cs="Tahoma"/>
          <w:bCs/>
          <w:lang w:val="en-GB"/>
        </w:rPr>
        <w:t xml:space="preserve">Georgian language and </w:t>
      </w:r>
      <w:r w:rsidR="004D201E" w:rsidRPr="00FA7FE1">
        <w:rPr>
          <w:rFonts w:cs="Tahoma"/>
          <w:bCs/>
          <w:lang w:val="en-GB"/>
        </w:rPr>
        <w:t>two</w:t>
      </w:r>
      <w:r w:rsidR="00170A70" w:rsidRPr="00FA7FE1">
        <w:rPr>
          <w:rFonts w:cs="Tahoma"/>
          <w:bCs/>
          <w:lang w:val="en-GB"/>
        </w:rPr>
        <w:t xml:space="preserve"> hours to Georgian literature. As of </w:t>
      </w:r>
      <w:r w:rsidR="007C1FFE" w:rsidRPr="00FA7FE1">
        <w:rPr>
          <w:rFonts w:cs="Tahoma"/>
          <w:bCs/>
          <w:lang w:val="en-GB"/>
        </w:rPr>
        <w:t>September</w:t>
      </w:r>
      <w:r w:rsidR="00170A70" w:rsidRPr="00FA7FE1">
        <w:rPr>
          <w:rFonts w:cs="Tahoma"/>
          <w:bCs/>
          <w:lang w:val="en-GB"/>
        </w:rPr>
        <w:t xml:space="preserve"> of the current academic year, Georgian literature teaching time </w:t>
      </w:r>
      <w:r w:rsidR="004D201E" w:rsidRPr="00FA7FE1">
        <w:rPr>
          <w:rFonts w:cs="Tahoma"/>
          <w:bCs/>
          <w:lang w:val="en-GB"/>
        </w:rPr>
        <w:t>has</w:t>
      </w:r>
      <w:r w:rsidR="00FC5DAE" w:rsidRPr="00FA7FE1">
        <w:rPr>
          <w:rFonts w:cs="Tahoma"/>
          <w:bCs/>
          <w:lang w:val="en-GB"/>
        </w:rPr>
        <w:t xml:space="preserve"> reportedly</w:t>
      </w:r>
      <w:r w:rsidR="00170A70" w:rsidRPr="00FA7FE1">
        <w:rPr>
          <w:rFonts w:cs="Tahoma"/>
          <w:bCs/>
          <w:lang w:val="en-GB"/>
        </w:rPr>
        <w:t xml:space="preserve"> </w:t>
      </w:r>
      <w:r w:rsidR="004D201E" w:rsidRPr="00FA7FE1">
        <w:rPr>
          <w:rFonts w:cs="Tahoma"/>
          <w:bCs/>
          <w:lang w:val="en-GB"/>
        </w:rPr>
        <w:t xml:space="preserve">been </w:t>
      </w:r>
      <w:r w:rsidR="00170A70" w:rsidRPr="00FA7FE1">
        <w:rPr>
          <w:rFonts w:cs="Tahoma"/>
          <w:bCs/>
          <w:lang w:val="en-GB"/>
        </w:rPr>
        <w:t>reduced by one hour.</w:t>
      </w:r>
    </w:p>
    <w:p w14:paraId="687DD602" w14:textId="77777777" w:rsidR="00CF29A3" w:rsidRPr="00FA7FE1" w:rsidRDefault="00CF29A3" w:rsidP="00976CDB">
      <w:pPr>
        <w:pStyle w:val="NormalWeb"/>
        <w:spacing w:before="0" w:beforeAutospacing="0" w:after="0" w:afterAutospacing="0"/>
        <w:jc w:val="both"/>
        <w:rPr>
          <w:rFonts w:cs="Tahoma"/>
          <w:bCs/>
          <w:lang w:val="en-GB"/>
        </w:rPr>
      </w:pPr>
    </w:p>
    <w:p w14:paraId="3E87E7A3" w14:textId="19A774FD" w:rsidR="00CF29A3" w:rsidRPr="00FA7FE1" w:rsidRDefault="00CD577B" w:rsidP="00976CDB">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FA7FE1">
        <w:rPr>
          <w:rFonts w:cs="Tahoma"/>
          <w:bCs/>
          <w:lang w:val="en-GB"/>
        </w:rPr>
        <w:t xml:space="preserve">The Georgian authorities reiterated to the delegation that they consider such practices to be discriminatory and, more generally, </w:t>
      </w:r>
      <w:r w:rsidR="006D3F38" w:rsidRPr="00FA7FE1">
        <w:rPr>
          <w:rFonts w:cs="Tahoma"/>
          <w:bCs/>
          <w:lang w:val="en-GB"/>
        </w:rPr>
        <w:t xml:space="preserve">to </w:t>
      </w:r>
      <w:r w:rsidRPr="00FA7FE1">
        <w:rPr>
          <w:rFonts w:cs="Tahoma"/>
          <w:bCs/>
          <w:lang w:val="en-GB"/>
        </w:rPr>
        <w:t>impair access to quality education.</w:t>
      </w:r>
      <w:r w:rsidR="00936B97" w:rsidRPr="00FA7FE1">
        <w:rPr>
          <w:rFonts w:cs="Tahoma"/>
          <w:bCs/>
          <w:lang w:val="en-GB"/>
        </w:rPr>
        <w:t xml:space="preserve"> They continue to </w:t>
      </w:r>
      <w:r w:rsidR="00936B97" w:rsidRPr="00FA7FE1">
        <w:rPr>
          <w:rFonts w:cs="Tahoma"/>
          <w:lang w:val="en-GB"/>
        </w:rPr>
        <w:t>raise the issue in all available platforms, including the GID.</w:t>
      </w:r>
      <w:r w:rsidRPr="00FA7FE1">
        <w:rPr>
          <w:rFonts w:cs="Tahoma"/>
          <w:bCs/>
          <w:lang w:val="en-GB"/>
        </w:rPr>
        <w:t xml:space="preserve"> </w:t>
      </w:r>
    </w:p>
    <w:p w14:paraId="2D809657" w14:textId="77777777" w:rsidR="00CF29A3" w:rsidRPr="00FA7FE1" w:rsidRDefault="00CF29A3" w:rsidP="00976CDB">
      <w:pPr>
        <w:pStyle w:val="NormalWeb"/>
        <w:spacing w:before="0" w:beforeAutospacing="0" w:after="0" w:afterAutospacing="0"/>
        <w:jc w:val="both"/>
        <w:rPr>
          <w:rFonts w:cs="Tahoma"/>
          <w:bCs/>
          <w:lang w:val="en-GB"/>
        </w:rPr>
      </w:pPr>
    </w:p>
    <w:p w14:paraId="1F40D2E7" w14:textId="4A448CE8" w:rsidR="002623EB" w:rsidRPr="00FA7FE1" w:rsidRDefault="00CD577B" w:rsidP="00CA7654">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FA7FE1">
        <w:rPr>
          <w:rFonts w:cs="Tahoma"/>
          <w:bCs/>
          <w:lang w:val="en-GB"/>
        </w:rPr>
        <w:t>As regards freedom of movement of schoolchildren</w:t>
      </w:r>
      <w:r w:rsidR="00936B97" w:rsidRPr="00FA7FE1">
        <w:rPr>
          <w:rFonts w:cs="Tahoma"/>
          <w:bCs/>
          <w:lang w:val="en-GB"/>
        </w:rPr>
        <w:t xml:space="preserve"> attending school </w:t>
      </w:r>
      <w:r w:rsidRPr="00FA7FE1">
        <w:rPr>
          <w:rFonts w:cs="Tahoma"/>
          <w:bCs/>
          <w:lang w:val="en-GB"/>
        </w:rPr>
        <w:t xml:space="preserve">in </w:t>
      </w:r>
      <w:r w:rsidR="009D3E1D" w:rsidRPr="00FA7FE1">
        <w:rPr>
          <w:rFonts w:cs="Tahoma"/>
          <w:bCs/>
          <w:lang w:val="en-GB"/>
        </w:rPr>
        <w:t xml:space="preserve">the </w:t>
      </w:r>
      <w:r w:rsidRPr="00FA7FE1">
        <w:rPr>
          <w:rFonts w:cs="Tahoma"/>
          <w:bCs/>
          <w:lang w:val="en-GB"/>
        </w:rPr>
        <w:t>central government-controlled territory</w:t>
      </w:r>
      <w:r w:rsidR="002865B6" w:rsidRPr="00FA7FE1">
        <w:rPr>
          <w:rFonts w:cs="Tahoma"/>
          <w:bCs/>
          <w:lang w:val="en-GB"/>
        </w:rPr>
        <w:t xml:space="preserve">, no incident or new development </w:t>
      </w:r>
      <w:r w:rsidR="009D3E1D" w:rsidRPr="00FA7FE1">
        <w:rPr>
          <w:rFonts w:cs="Tahoma"/>
          <w:bCs/>
          <w:lang w:val="en-GB"/>
        </w:rPr>
        <w:t>has</w:t>
      </w:r>
      <w:r w:rsidR="002865B6" w:rsidRPr="00FA7FE1">
        <w:rPr>
          <w:rFonts w:cs="Tahoma"/>
          <w:bCs/>
          <w:lang w:val="en-GB"/>
        </w:rPr>
        <w:t xml:space="preserve"> be</w:t>
      </w:r>
      <w:r w:rsidR="009D3E1D" w:rsidRPr="00FA7FE1">
        <w:rPr>
          <w:rFonts w:cs="Tahoma"/>
          <w:bCs/>
          <w:lang w:val="en-GB"/>
        </w:rPr>
        <w:t>en</w:t>
      </w:r>
      <w:r w:rsidR="002865B6" w:rsidRPr="00FA7FE1">
        <w:rPr>
          <w:rFonts w:cs="Tahoma"/>
          <w:bCs/>
          <w:lang w:val="en-GB"/>
        </w:rPr>
        <w:t xml:space="preserve"> reported.</w:t>
      </w:r>
      <w:r w:rsidR="003D5FEA" w:rsidRPr="00FA7FE1">
        <w:rPr>
          <w:rFonts w:cs="Tahoma"/>
          <w:bCs/>
          <w:lang w:val="en-GB"/>
        </w:rPr>
        <w:t xml:space="preserve"> Commuting nonetheless remains difficult and time-consuming for the children concerned.</w:t>
      </w:r>
      <w:r w:rsidR="0012547E" w:rsidRPr="00FA7FE1">
        <w:rPr>
          <w:rFonts w:cs="Tahoma"/>
          <w:bCs/>
          <w:lang w:val="en-GB"/>
        </w:rPr>
        <w:t xml:space="preserve"> The number of pupils crossing the </w:t>
      </w:r>
      <w:r w:rsidR="00250969" w:rsidRPr="00FA7FE1">
        <w:rPr>
          <w:rFonts w:cs="Tahoma"/>
          <w:bCs/>
          <w:lang w:val="en-GB"/>
        </w:rPr>
        <w:t xml:space="preserve">Administrative Boundary Line </w:t>
      </w:r>
      <w:r w:rsidR="0012547E" w:rsidRPr="00FA7FE1">
        <w:rPr>
          <w:rFonts w:cs="Tahoma"/>
          <w:bCs/>
          <w:lang w:val="en-GB"/>
        </w:rPr>
        <w:t>each day for school attendance</w:t>
      </w:r>
      <w:r w:rsidR="009D3E1D" w:rsidRPr="00FA7FE1">
        <w:rPr>
          <w:rFonts w:cs="Tahoma"/>
          <w:bCs/>
          <w:lang w:val="en-GB"/>
        </w:rPr>
        <w:t xml:space="preserve"> has been </w:t>
      </w:r>
      <w:r w:rsidR="0012547E" w:rsidRPr="00FA7FE1">
        <w:rPr>
          <w:rFonts w:cs="Tahoma"/>
          <w:bCs/>
          <w:lang w:val="en-GB"/>
        </w:rPr>
        <w:t xml:space="preserve">on </w:t>
      </w:r>
      <w:r w:rsidR="009D3E1D" w:rsidRPr="00FA7FE1">
        <w:rPr>
          <w:rFonts w:cs="Tahoma"/>
          <w:bCs/>
          <w:lang w:val="en-GB"/>
        </w:rPr>
        <w:t>the decrease</w:t>
      </w:r>
      <w:r w:rsidR="0012547E" w:rsidRPr="00FA7FE1">
        <w:rPr>
          <w:rFonts w:cs="Tahoma"/>
          <w:bCs/>
          <w:lang w:val="en-GB"/>
        </w:rPr>
        <w:t xml:space="preserve"> since 2016</w:t>
      </w:r>
      <w:r w:rsidR="0012547E" w:rsidRPr="00FA7FE1">
        <w:rPr>
          <w:rStyle w:val="FootnoteReference"/>
          <w:rFonts w:cs="Tahoma"/>
          <w:bCs/>
          <w:lang w:val="en-GB"/>
        </w:rPr>
        <w:footnoteReference w:id="13"/>
      </w:r>
      <w:r w:rsidR="009D3E1D" w:rsidRPr="00FA7FE1">
        <w:rPr>
          <w:rFonts w:cs="Tahoma"/>
          <w:bCs/>
          <w:lang w:val="en-GB"/>
        </w:rPr>
        <w:t>,</w:t>
      </w:r>
      <w:r w:rsidR="0012547E" w:rsidRPr="00FA7FE1">
        <w:rPr>
          <w:rFonts w:cs="Tahoma"/>
          <w:bCs/>
          <w:lang w:val="en-GB"/>
        </w:rPr>
        <w:t xml:space="preserve"> mainly due to the various restrictions imposed on freedom of movement.</w:t>
      </w:r>
    </w:p>
    <w:p w14:paraId="164E7025" w14:textId="77777777" w:rsidR="00CF616B" w:rsidRPr="00FA7FE1" w:rsidRDefault="00CF616B" w:rsidP="002A3CE8">
      <w:pPr>
        <w:pStyle w:val="ListParagraph"/>
        <w:rPr>
          <w:rFonts w:cs="Tahoma"/>
          <w:bCs/>
          <w:lang w:val="en-GB"/>
        </w:rPr>
      </w:pPr>
    </w:p>
    <w:p w14:paraId="4A5B90ED" w14:textId="42DE85F6" w:rsidR="00CF616B" w:rsidRPr="00FA7FE1" w:rsidRDefault="00CF616B" w:rsidP="00CA7654">
      <w:pPr>
        <w:pStyle w:val="NormalWeb"/>
        <w:numPr>
          <w:ilvl w:val="0"/>
          <w:numId w:val="5"/>
        </w:numPr>
        <w:tabs>
          <w:tab w:val="clear" w:pos="360"/>
          <w:tab w:val="num" w:pos="0"/>
        </w:tabs>
        <w:spacing w:before="0" w:beforeAutospacing="0" w:after="0" w:afterAutospacing="0"/>
        <w:ind w:left="0" w:firstLine="0"/>
        <w:jc w:val="both"/>
        <w:rPr>
          <w:rFonts w:cs="Tahoma"/>
          <w:bCs/>
          <w:lang w:val="en-GB"/>
        </w:rPr>
      </w:pPr>
      <w:r w:rsidRPr="00FA7FE1">
        <w:rPr>
          <w:rFonts w:cs="Tahoma"/>
          <w:bCs/>
          <w:lang w:val="en-GB"/>
        </w:rPr>
        <w:t>The delegation was informed that</w:t>
      </w:r>
      <w:r w:rsidR="000F6D1F" w:rsidRPr="00FA7FE1">
        <w:rPr>
          <w:rFonts w:cs="Tahoma"/>
          <w:bCs/>
          <w:lang w:val="en-GB"/>
        </w:rPr>
        <w:t>,</w:t>
      </w:r>
      <w:r w:rsidRPr="00FA7FE1">
        <w:rPr>
          <w:rFonts w:cs="Tahoma"/>
          <w:bCs/>
          <w:lang w:val="en-GB"/>
        </w:rPr>
        <w:t xml:space="preserve"> in this context, the Georgian </w:t>
      </w:r>
      <w:r w:rsidR="00FC5DAE" w:rsidRPr="00FA7FE1">
        <w:rPr>
          <w:rFonts w:cs="Tahoma"/>
          <w:bCs/>
          <w:lang w:val="en-GB"/>
        </w:rPr>
        <w:t xml:space="preserve">central </w:t>
      </w:r>
      <w:r w:rsidRPr="00FA7FE1">
        <w:rPr>
          <w:rFonts w:cs="Tahoma"/>
          <w:bCs/>
          <w:lang w:val="en-GB"/>
        </w:rPr>
        <w:t xml:space="preserve">government </w:t>
      </w:r>
      <w:r w:rsidR="00BC41B2" w:rsidRPr="00FA7FE1">
        <w:rPr>
          <w:rFonts w:cs="Tahoma"/>
          <w:bCs/>
          <w:lang w:val="en-GB"/>
        </w:rPr>
        <w:t>ha</w:t>
      </w:r>
      <w:r w:rsidR="001C799B" w:rsidRPr="00FA7FE1">
        <w:rPr>
          <w:rFonts w:cs="Tahoma"/>
          <w:bCs/>
          <w:lang w:val="en-GB"/>
        </w:rPr>
        <w:t>d</w:t>
      </w:r>
      <w:r w:rsidR="00BC41B2" w:rsidRPr="00FA7FE1">
        <w:rPr>
          <w:rFonts w:cs="Tahoma"/>
          <w:bCs/>
          <w:lang w:val="en-GB"/>
        </w:rPr>
        <w:t xml:space="preserve"> </w:t>
      </w:r>
      <w:r w:rsidRPr="00FA7FE1">
        <w:rPr>
          <w:rFonts w:cs="Tahoma"/>
          <w:bCs/>
          <w:lang w:val="en-GB"/>
        </w:rPr>
        <w:t>implement</w:t>
      </w:r>
      <w:r w:rsidR="00BC41B2" w:rsidRPr="00FA7FE1">
        <w:rPr>
          <w:rFonts w:cs="Tahoma"/>
          <w:bCs/>
          <w:lang w:val="en-GB"/>
        </w:rPr>
        <w:t>ed</w:t>
      </w:r>
      <w:r w:rsidRPr="00FA7FE1">
        <w:rPr>
          <w:rFonts w:cs="Tahoma"/>
          <w:bCs/>
          <w:lang w:val="en-GB"/>
        </w:rPr>
        <w:t xml:space="preserve"> a number of measures aimed at improving educational conditions.</w:t>
      </w:r>
    </w:p>
    <w:p w14:paraId="0F9D3E02" w14:textId="04297504" w:rsidR="0012547E" w:rsidRPr="00FA7FE1" w:rsidRDefault="0012547E">
      <w:pPr>
        <w:pStyle w:val="NormalWeb"/>
        <w:spacing w:before="0" w:beforeAutospacing="0" w:after="0" w:afterAutospacing="0"/>
        <w:jc w:val="both"/>
        <w:rPr>
          <w:rFonts w:cs="Tahoma"/>
          <w:bCs/>
          <w:lang w:val="en-GB"/>
        </w:rPr>
      </w:pPr>
    </w:p>
    <w:p w14:paraId="458D3E3B" w14:textId="449F3F98" w:rsidR="00066731" w:rsidRPr="00FA7FE1" w:rsidRDefault="00066731">
      <w:pPr>
        <w:pStyle w:val="NormalWeb"/>
        <w:spacing w:before="0" w:beforeAutospacing="0" w:after="0" w:afterAutospacing="0"/>
        <w:jc w:val="both"/>
        <w:rPr>
          <w:rFonts w:cs="Tahoma"/>
          <w:bCs/>
          <w:i/>
          <w:iCs/>
          <w:lang w:val="en-GB"/>
        </w:rPr>
      </w:pPr>
      <w:r w:rsidRPr="00FA7FE1">
        <w:rPr>
          <w:rFonts w:cs="Tahoma"/>
          <w:bCs/>
          <w:i/>
          <w:iCs/>
          <w:lang w:val="en-GB"/>
        </w:rPr>
        <w:t>III.1.v</w:t>
      </w:r>
      <w:r w:rsidRPr="00FA7FE1">
        <w:rPr>
          <w:rFonts w:cs="Tahoma"/>
          <w:bCs/>
          <w:i/>
          <w:iCs/>
          <w:lang w:val="en-GB"/>
        </w:rPr>
        <w:tab/>
        <w:t>Other developments in Abkhazia</w:t>
      </w:r>
    </w:p>
    <w:p w14:paraId="2C5778D2" w14:textId="77777777" w:rsidR="00CF616B" w:rsidRPr="00FA7FE1" w:rsidRDefault="00CF616B" w:rsidP="002A3CE8">
      <w:pPr>
        <w:pStyle w:val="NormalWeb"/>
        <w:spacing w:before="0" w:beforeAutospacing="0" w:after="0" w:afterAutospacing="0"/>
        <w:jc w:val="both"/>
        <w:rPr>
          <w:rFonts w:cs="Tahoma"/>
          <w:bCs/>
          <w:lang w:val="en-GB"/>
        </w:rPr>
      </w:pPr>
    </w:p>
    <w:p w14:paraId="6663D97B" w14:textId="0A6C2267" w:rsidR="002623EB" w:rsidRPr="00FA7FE1" w:rsidRDefault="002623EB" w:rsidP="002623EB">
      <w:pPr>
        <w:keepNext/>
        <w:keepLines/>
        <w:numPr>
          <w:ilvl w:val="0"/>
          <w:numId w:val="5"/>
        </w:numPr>
        <w:tabs>
          <w:tab w:val="clear" w:pos="360"/>
        </w:tabs>
        <w:ind w:left="0" w:firstLine="0"/>
        <w:jc w:val="both"/>
        <w:rPr>
          <w:rFonts w:cs="Tahoma"/>
          <w:lang w:val="en-GB"/>
        </w:rPr>
      </w:pPr>
      <w:r w:rsidRPr="00FA7FE1">
        <w:rPr>
          <w:rFonts w:eastAsia="Calibri" w:cs="Tahoma"/>
          <w:lang w:val="en-GB"/>
        </w:rPr>
        <w:t xml:space="preserve">In other developments, in Abkhazia, </w:t>
      </w:r>
      <w:r w:rsidR="005F1697">
        <w:rPr>
          <w:rFonts w:eastAsia="Calibri" w:cs="Tahoma"/>
          <w:lang w:val="en-GB"/>
        </w:rPr>
        <w:t xml:space="preserve">the </w:t>
      </w:r>
      <w:r w:rsidRPr="00FA7FE1">
        <w:rPr>
          <w:rFonts w:eastAsia="Calibri" w:cs="Tahoma"/>
          <w:i/>
          <w:iCs/>
          <w:lang w:val="en-GB"/>
        </w:rPr>
        <w:t>de facto</w:t>
      </w:r>
      <w:r w:rsidRPr="00FA7FE1">
        <w:rPr>
          <w:rFonts w:eastAsia="Calibri" w:cs="Tahoma"/>
          <w:lang w:val="en-GB"/>
        </w:rPr>
        <w:t xml:space="preserve"> </w:t>
      </w:r>
      <w:r w:rsidR="005F1697">
        <w:rPr>
          <w:rFonts w:eastAsia="Calibri" w:cs="Tahoma"/>
          <w:lang w:val="en-GB"/>
        </w:rPr>
        <w:t>p</w:t>
      </w:r>
      <w:r w:rsidRPr="00FA7FE1">
        <w:rPr>
          <w:rFonts w:eastAsia="Calibri" w:cs="Tahoma"/>
          <w:lang w:val="en-GB"/>
        </w:rPr>
        <w:t xml:space="preserve">resident resigned on 12 January following protests calling for the invalidation of last September’s </w:t>
      </w:r>
      <w:r w:rsidR="000614FF" w:rsidRPr="004B3999">
        <w:rPr>
          <w:rFonts w:eastAsia="Calibri" w:cs="Tahoma"/>
          <w:lang w:val="en-GB"/>
        </w:rPr>
        <w:t>so-called</w:t>
      </w:r>
      <w:r w:rsidRPr="00FA7FE1">
        <w:rPr>
          <w:rFonts w:eastAsia="Calibri" w:cs="Tahoma"/>
          <w:lang w:val="en-GB"/>
        </w:rPr>
        <w:t xml:space="preserve"> presidential elections. In addition, the </w:t>
      </w:r>
      <w:r w:rsidR="000614FF">
        <w:rPr>
          <w:rFonts w:eastAsia="Calibri" w:cs="Tahoma"/>
          <w:i/>
          <w:iCs/>
          <w:lang w:val="en-GB"/>
        </w:rPr>
        <w:t>de facto</w:t>
      </w:r>
      <w:r w:rsidRPr="00FA7FE1">
        <w:rPr>
          <w:rFonts w:eastAsia="Calibri" w:cs="Tahoma"/>
          <w:lang w:val="en-GB"/>
        </w:rPr>
        <w:t xml:space="preserve"> </w:t>
      </w:r>
      <w:r w:rsidR="000614FF">
        <w:rPr>
          <w:rFonts w:eastAsia="Calibri" w:cs="Tahoma"/>
          <w:lang w:val="en-GB"/>
        </w:rPr>
        <w:t>s</w:t>
      </w:r>
      <w:r w:rsidRPr="00FA7FE1">
        <w:rPr>
          <w:rFonts w:eastAsia="Calibri" w:cs="Tahoma"/>
          <w:lang w:val="en-GB"/>
        </w:rPr>
        <w:t xml:space="preserve">upreme </w:t>
      </w:r>
      <w:r w:rsidR="000614FF">
        <w:rPr>
          <w:rFonts w:eastAsia="Calibri" w:cs="Tahoma"/>
          <w:lang w:val="en-GB"/>
        </w:rPr>
        <w:t>c</w:t>
      </w:r>
      <w:r w:rsidRPr="00FA7FE1">
        <w:rPr>
          <w:rFonts w:eastAsia="Calibri" w:cs="Tahoma"/>
          <w:lang w:val="en-GB"/>
        </w:rPr>
        <w:t xml:space="preserve">ourt invalidated the </w:t>
      </w:r>
      <w:r w:rsidR="000614FF" w:rsidRPr="004B3999">
        <w:rPr>
          <w:rFonts w:eastAsia="Calibri" w:cs="Tahoma"/>
          <w:lang w:val="en-GB"/>
        </w:rPr>
        <w:t>so-called</w:t>
      </w:r>
      <w:r w:rsidRPr="00FA7FE1">
        <w:rPr>
          <w:rFonts w:eastAsia="Calibri" w:cs="Tahoma"/>
          <w:lang w:val="en-GB"/>
        </w:rPr>
        <w:t xml:space="preserve"> presidential elections’ results paving the way for the </w:t>
      </w:r>
      <w:r w:rsidRPr="00FA7FE1">
        <w:rPr>
          <w:rFonts w:eastAsia="Calibri" w:cs="Tahoma"/>
          <w:i/>
          <w:iCs/>
          <w:lang w:val="en-GB"/>
        </w:rPr>
        <w:t>de facto</w:t>
      </w:r>
      <w:r w:rsidRPr="00FA7FE1">
        <w:rPr>
          <w:rFonts w:eastAsia="Calibri" w:cs="Tahoma"/>
          <w:lang w:val="en-GB"/>
        </w:rPr>
        <w:t xml:space="preserve"> </w:t>
      </w:r>
      <w:r w:rsidR="000614FF">
        <w:rPr>
          <w:rFonts w:eastAsia="Calibri" w:cs="Tahoma"/>
          <w:lang w:val="en-GB"/>
        </w:rPr>
        <w:t>c</w:t>
      </w:r>
      <w:r w:rsidRPr="00FA7FE1">
        <w:rPr>
          <w:rFonts w:eastAsia="Calibri" w:cs="Tahoma"/>
          <w:lang w:val="en-GB"/>
        </w:rPr>
        <w:t xml:space="preserve">entral </w:t>
      </w:r>
      <w:r w:rsidR="000614FF">
        <w:rPr>
          <w:rFonts w:eastAsia="Calibri" w:cs="Tahoma"/>
          <w:lang w:val="en-GB"/>
        </w:rPr>
        <w:t>e</w:t>
      </w:r>
      <w:r w:rsidRPr="00FA7FE1">
        <w:rPr>
          <w:rFonts w:eastAsia="Calibri" w:cs="Tahoma"/>
          <w:lang w:val="en-GB"/>
        </w:rPr>
        <w:t xml:space="preserve">lection </w:t>
      </w:r>
      <w:r w:rsidR="000614FF">
        <w:rPr>
          <w:rFonts w:eastAsia="Calibri" w:cs="Tahoma"/>
          <w:lang w:val="en-GB"/>
        </w:rPr>
        <w:t>c</w:t>
      </w:r>
      <w:r w:rsidRPr="00FA7FE1">
        <w:rPr>
          <w:rFonts w:eastAsia="Calibri" w:cs="Tahoma"/>
          <w:lang w:val="en-GB"/>
        </w:rPr>
        <w:t xml:space="preserve">ommission to set the </w:t>
      </w:r>
      <w:r w:rsidR="000614FF">
        <w:rPr>
          <w:rFonts w:eastAsia="Calibri" w:cs="Tahoma"/>
          <w:lang w:val="en-GB"/>
        </w:rPr>
        <w:t xml:space="preserve">new </w:t>
      </w:r>
      <w:r w:rsidRPr="00FA7FE1">
        <w:rPr>
          <w:rFonts w:eastAsia="Calibri" w:cs="Tahoma"/>
          <w:lang w:val="en-GB"/>
        </w:rPr>
        <w:t xml:space="preserve">date of </w:t>
      </w:r>
      <w:r w:rsidR="000614FF">
        <w:rPr>
          <w:rFonts w:eastAsia="Calibri" w:cs="Tahoma"/>
          <w:lang w:val="en-GB"/>
        </w:rPr>
        <w:t xml:space="preserve">voting </w:t>
      </w:r>
      <w:r w:rsidRPr="00FA7FE1">
        <w:rPr>
          <w:rFonts w:eastAsia="Calibri" w:cs="Tahoma"/>
          <w:lang w:val="en-GB"/>
        </w:rPr>
        <w:t>on 22 March 2020.</w:t>
      </w:r>
    </w:p>
    <w:p w14:paraId="5B6FE0AA" w14:textId="4CB75261" w:rsidR="00CF29A3" w:rsidRPr="00FA7FE1" w:rsidRDefault="00CF29A3">
      <w:pPr>
        <w:pStyle w:val="NormalWeb"/>
        <w:spacing w:before="0" w:beforeAutospacing="0" w:after="0" w:afterAutospacing="0"/>
        <w:jc w:val="both"/>
        <w:rPr>
          <w:rFonts w:cs="Tahoma"/>
          <w:bCs/>
          <w:lang w:val="en-GB"/>
        </w:rPr>
      </w:pPr>
    </w:p>
    <w:p w14:paraId="6E0ACF8B" w14:textId="77777777" w:rsidR="008C2A4C" w:rsidRPr="00FA7FE1" w:rsidRDefault="008C2A4C" w:rsidP="004B51A2">
      <w:pPr>
        <w:keepNext/>
        <w:keepLines/>
        <w:tabs>
          <w:tab w:val="num" w:pos="0"/>
        </w:tabs>
        <w:jc w:val="both"/>
        <w:rPr>
          <w:rFonts w:cs="Tahoma"/>
          <w:i/>
          <w:lang w:val="en-GB"/>
        </w:rPr>
      </w:pPr>
      <w:r w:rsidRPr="00FA7FE1">
        <w:rPr>
          <w:rFonts w:cs="Tahoma"/>
          <w:i/>
          <w:lang w:val="en-GB"/>
        </w:rPr>
        <w:lastRenderedPageBreak/>
        <w:t>III.2</w:t>
      </w:r>
      <w:r w:rsidRPr="00FA7FE1">
        <w:rPr>
          <w:rFonts w:cs="Tahoma"/>
          <w:i/>
          <w:lang w:val="en-GB"/>
        </w:rPr>
        <w:tab/>
        <w:t>Reports on South Ossetia</w:t>
      </w:r>
    </w:p>
    <w:p w14:paraId="6C5D63D5" w14:textId="3790931F" w:rsidR="00B872B7" w:rsidRPr="00FA7FE1" w:rsidRDefault="00B872B7" w:rsidP="004B51A2">
      <w:pPr>
        <w:pStyle w:val="ListParagraph"/>
        <w:keepNext/>
        <w:keepLines/>
        <w:ind w:left="0"/>
        <w:jc w:val="both"/>
        <w:rPr>
          <w:rFonts w:cs="Tahoma"/>
          <w:bCs/>
          <w:lang w:val="en-GB"/>
        </w:rPr>
      </w:pPr>
    </w:p>
    <w:p w14:paraId="4068E893" w14:textId="2FEBED32" w:rsidR="00B63213" w:rsidRPr="00FA7FE1" w:rsidRDefault="000A5A90" w:rsidP="004B51A2">
      <w:pPr>
        <w:pStyle w:val="ListParagraph"/>
        <w:keepNext/>
        <w:keepLines/>
        <w:ind w:left="0"/>
        <w:jc w:val="both"/>
        <w:rPr>
          <w:rFonts w:cs="Tahoma"/>
          <w:bCs/>
          <w:i/>
          <w:iCs/>
          <w:lang w:val="en-GB"/>
        </w:rPr>
      </w:pPr>
      <w:r w:rsidRPr="00FA7FE1">
        <w:rPr>
          <w:rFonts w:cs="Tahoma"/>
          <w:bCs/>
          <w:i/>
          <w:iCs/>
          <w:lang w:val="en-GB"/>
        </w:rPr>
        <w:t>III.2.i</w:t>
      </w:r>
      <w:r w:rsidRPr="00FA7FE1">
        <w:rPr>
          <w:rFonts w:cs="Tahoma"/>
          <w:bCs/>
          <w:i/>
          <w:iCs/>
          <w:lang w:val="en-GB"/>
        </w:rPr>
        <w:tab/>
      </w:r>
      <w:r w:rsidR="00B63213" w:rsidRPr="00FA7FE1">
        <w:rPr>
          <w:rFonts w:cs="Tahoma"/>
          <w:bCs/>
          <w:i/>
          <w:iCs/>
          <w:lang w:val="en-GB"/>
        </w:rPr>
        <w:t>Security</w:t>
      </w:r>
    </w:p>
    <w:p w14:paraId="08F76624" w14:textId="77777777" w:rsidR="00E41F47" w:rsidRPr="00FA7FE1" w:rsidRDefault="00E41F47" w:rsidP="004B51A2">
      <w:pPr>
        <w:pStyle w:val="ListParagraph"/>
        <w:keepNext/>
        <w:keepLines/>
        <w:ind w:left="0"/>
        <w:jc w:val="both"/>
        <w:rPr>
          <w:rFonts w:cs="Tahoma"/>
          <w:bCs/>
          <w:i/>
          <w:iCs/>
          <w:lang w:val="en-GB"/>
        </w:rPr>
      </w:pPr>
    </w:p>
    <w:p w14:paraId="1EE73AAE" w14:textId="2DF0DAE9" w:rsidR="00B872B7" w:rsidRPr="00FA7FE1" w:rsidRDefault="00B872B7" w:rsidP="00B872B7">
      <w:pPr>
        <w:pStyle w:val="ListParagraph"/>
        <w:numPr>
          <w:ilvl w:val="0"/>
          <w:numId w:val="5"/>
        </w:numPr>
        <w:tabs>
          <w:tab w:val="clear" w:pos="360"/>
          <w:tab w:val="num" w:pos="0"/>
        </w:tabs>
        <w:ind w:left="0" w:firstLine="0"/>
        <w:jc w:val="both"/>
        <w:rPr>
          <w:rFonts w:cs="Tahoma"/>
          <w:bCs/>
          <w:lang w:val="en-GB"/>
        </w:rPr>
      </w:pPr>
      <w:r w:rsidRPr="00FA7FE1">
        <w:rPr>
          <w:rFonts w:cs="Tahoma"/>
          <w:bCs/>
          <w:lang w:val="en-GB"/>
        </w:rPr>
        <w:t xml:space="preserve">During the visit, </w:t>
      </w:r>
      <w:r w:rsidR="000A5A90" w:rsidRPr="00FA7FE1">
        <w:rPr>
          <w:rFonts w:cs="Tahoma"/>
          <w:bCs/>
          <w:lang w:val="en-GB"/>
        </w:rPr>
        <w:t xml:space="preserve">all </w:t>
      </w:r>
      <w:r w:rsidR="00EB02DD" w:rsidRPr="00FA7FE1">
        <w:rPr>
          <w:rFonts w:cs="Tahoma"/>
          <w:lang w:val="en-GB"/>
        </w:rPr>
        <w:t>the</w:t>
      </w:r>
      <w:r w:rsidR="000A5A90" w:rsidRPr="00FA7FE1">
        <w:rPr>
          <w:rFonts w:cs="Tahoma"/>
          <w:lang w:val="en-GB"/>
        </w:rPr>
        <w:t xml:space="preserve"> security observers </w:t>
      </w:r>
      <w:r w:rsidRPr="00FA7FE1">
        <w:rPr>
          <w:rFonts w:cs="Tahoma"/>
          <w:bCs/>
          <w:lang w:val="en-GB"/>
        </w:rPr>
        <w:t xml:space="preserve">pointed </w:t>
      </w:r>
      <w:r w:rsidR="009D3E1D" w:rsidRPr="00FA7FE1">
        <w:rPr>
          <w:rFonts w:cs="Tahoma"/>
          <w:bCs/>
          <w:lang w:val="en-GB"/>
        </w:rPr>
        <w:t>to</w:t>
      </w:r>
      <w:r w:rsidRPr="00FA7FE1">
        <w:rPr>
          <w:rFonts w:cs="Tahoma"/>
          <w:bCs/>
          <w:lang w:val="en-GB"/>
        </w:rPr>
        <w:t xml:space="preserve"> the worsening situation along the </w:t>
      </w:r>
      <w:r w:rsidR="00250969" w:rsidRPr="00FA7FE1">
        <w:rPr>
          <w:rFonts w:cs="Tahoma"/>
          <w:bCs/>
          <w:lang w:val="en-GB"/>
        </w:rPr>
        <w:t>Administrative Boundary Line</w:t>
      </w:r>
      <w:r w:rsidRPr="00FA7FE1">
        <w:rPr>
          <w:rFonts w:cs="Tahoma"/>
          <w:bCs/>
          <w:lang w:val="en-GB"/>
        </w:rPr>
        <w:t xml:space="preserve">, in particular </w:t>
      </w:r>
      <w:r w:rsidRPr="00FA7FE1">
        <w:rPr>
          <w:rFonts w:cs="Tahoma"/>
          <w:lang w:val="en-GB"/>
        </w:rPr>
        <w:t>in the Chorchana–Tsnelisi area</w:t>
      </w:r>
      <w:r w:rsidR="000A5A90" w:rsidRPr="00FA7FE1">
        <w:rPr>
          <w:rFonts w:cs="Tahoma"/>
          <w:lang w:val="en-GB"/>
        </w:rPr>
        <w:t>.</w:t>
      </w:r>
      <w:r w:rsidRPr="00FA7FE1">
        <w:rPr>
          <w:rFonts w:cs="Tahoma"/>
          <w:lang w:val="en-GB"/>
        </w:rPr>
        <w:t xml:space="preserve"> </w:t>
      </w:r>
      <w:r w:rsidRPr="00FA7FE1">
        <w:rPr>
          <w:rFonts w:cs="Tahoma"/>
          <w:bCs/>
          <w:lang w:val="en-GB"/>
        </w:rPr>
        <w:t>Representatives of the Georgian central government met by the delegation assessed these developments as highly worr</w:t>
      </w:r>
      <w:r w:rsidR="00E03A25">
        <w:rPr>
          <w:rFonts w:cs="Tahoma"/>
          <w:bCs/>
          <w:lang w:val="en-GB"/>
        </w:rPr>
        <w:t>ying</w:t>
      </w:r>
      <w:r w:rsidRPr="00FA7FE1">
        <w:rPr>
          <w:rFonts w:cs="Tahoma"/>
          <w:bCs/>
          <w:lang w:val="en-GB"/>
        </w:rPr>
        <w:t>.</w:t>
      </w:r>
    </w:p>
    <w:p w14:paraId="4D66B74D" w14:textId="77777777" w:rsidR="00187653" w:rsidRPr="00FA7FE1" w:rsidRDefault="00187653" w:rsidP="00B872B7">
      <w:pPr>
        <w:pStyle w:val="ListParagraph"/>
        <w:ind w:left="0"/>
        <w:jc w:val="both"/>
        <w:rPr>
          <w:rFonts w:cs="Tahoma"/>
          <w:bCs/>
          <w:i/>
          <w:iCs/>
          <w:lang w:val="en-GB"/>
        </w:rPr>
      </w:pPr>
    </w:p>
    <w:p w14:paraId="1D22D2B5" w14:textId="482EFB2D" w:rsidR="00B63213" w:rsidRPr="00FA7FE1" w:rsidRDefault="000A5A90" w:rsidP="00B872B7">
      <w:pPr>
        <w:pStyle w:val="ListParagraph"/>
        <w:ind w:left="0"/>
        <w:jc w:val="both"/>
        <w:rPr>
          <w:rFonts w:cs="Tahoma"/>
          <w:bCs/>
          <w:i/>
          <w:iCs/>
          <w:lang w:val="en-GB"/>
        </w:rPr>
      </w:pPr>
      <w:r w:rsidRPr="00FA7FE1">
        <w:rPr>
          <w:rFonts w:cs="Tahoma"/>
          <w:bCs/>
          <w:i/>
          <w:iCs/>
          <w:lang w:val="en-GB"/>
        </w:rPr>
        <w:t>III.2.ii</w:t>
      </w:r>
      <w:r w:rsidRPr="00FA7FE1">
        <w:rPr>
          <w:rFonts w:cs="Tahoma"/>
          <w:bCs/>
          <w:i/>
          <w:iCs/>
          <w:lang w:val="en-GB"/>
        </w:rPr>
        <w:tab/>
      </w:r>
      <w:r w:rsidR="00B63213" w:rsidRPr="00FA7FE1">
        <w:rPr>
          <w:rFonts w:cs="Tahoma"/>
          <w:bCs/>
          <w:i/>
          <w:iCs/>
          <w:lang w:val="en-GB"/>
        </w:rPr>
        <w:t>Freedom of movement</w:t>
      </w:r>
    </w:p>
    <w:p w14:paraId="49F8A944" w14:textId="77777777" w:rsidR="00E41F47" w:rsidRPr="00FA7FE1" w:rsidRDefault="00E41F47" w:rsidP="00B872B7">
      <w:pPr>
        <w:pStyle w:val="ListParagraph"/>
        <w:ind w:left="0"/>
        <w:jc w:val="both"/>
        <w:rPr>
          <w:rFonts w:cs="Tahoma"/>
          <w:bCs/>
          <w:i/>
          <w:iCs/>
          <w:lang w:val="en-GB"/>
        </w:rPr>
      </w:pPr>
    </w:p>
    <w:p w14:paraId="46CEE12F" w14:textId="3E48240C" w:rsidR="00171405" w:rsidRPr="00FA7FE1" w:rsidRDefault="00CF616B" w:rsidP="00171405">
      <w:pPr>
        <w:pStyle w:val="ListParagraph"/>
        <w:numPr>
          <w:ilvl w:val="0"/>
          <w:numId w:val="5"/>
        </w:numPr>
        <w:tabs>
          <w:tab w:val="clear" w:pos="360"/>
          <w:tab w:val="num" w:pos="0"/>
        </w:tabs>
        <w:ind w:left="0" w:firstLine="0"/>
        <w:jc w:val="both"/>
        <w:rPr>
          <w:rFonts w:cs="Tahoma"/>
          <w:bCs/>
          <w:lang w:val="en-GB"/>
        </w:rPr>
      </w:pPr>
      <w:r w:rsidRPr="00FA7FE1">
        <w:rPr>
          <w:rFonts w:cs="Tahoma"/>
          <w:bCs/>
          <w:lang w:val="en-GB"/>
        </w:rPr>
        <w:t>The delegation was informed by various interlocutors that so</w:t>
      </w:r>
      <w:r w:rsidR="001A1F9A" w:rsidRPr="00FA7FE1">
        <w:rPr>
          <w:rFonts w:cs="Tahoma"/>
          <w:bCs/>
          <w:lang w:val="en-GB"/>
        </w:rPr>
        <w:t>-</w:t>
      </w:r>
      <w:r w:rsidRPr="00FA7FE1">
        <w:rPr>
          <w:rFonts w:cs="Tahoma"/>
          <w:bCs/>
          <w:lang w:val="en-GB"/>
        </w:rPr>
        <w:t xml:space="preserve">called </w:t>
      </w:r>
      <w:r w:rsidR="001213F4" w:rsidRPr="00FA7FE1">
        <w:rPr>
          <w:rFonts w:cs="Tahoma"/>
          <w:bCs/>
          <w:lang w:val="en-GB"/>
        </w:rPr>
        <w:t>“</w:t>
      </w:r>
      <w:r w:rsidRPr="00FA7FE1">
        <w:rPr>
          <w:rFonts w:cs="Tahoma"/>
          <w:bCs/>
          <w:lang w:val="en-GB"/>
        </w:rPr>
        <w:t>b</w:t>
      </w:r>
      <w:r w:rsidR="001213F4" w:rsidRPr="00FA7FE1">
        <w:rPr>
          <w:rFonts w:cs="Tahoma"/>
          <w:bCs/>
          <w:lang w:val="en-GB"/>
        </w:rPr>
        <w:t xml:space="preserve">orderisation” activities along the </w:t>
      </w:r>
      <w:r w:rsidR="00A87F30" w:rsidRPr="00FA7FE1">
        <w:rPr>
          <w:rFonts w:cs="Tahoma"/>
          <w:bCs/>
          <w:lang w:val="en-GB"/>
        </w:rPr>
        <w:t xml:space="preserve">Administrative Boundary Line </w:t>
      </w:r>
      <w:r w:rsidR="001213F4" w:rsidRPr="00FA7FE1">
        <w:rPr>
          <w:rFonts w:cs="Tahoma"/>
          <w:bCs/>
          <w:lang w:val="en-GB"/>
        </w:rPr>
        <w:t xml:space="preserve">continued to be carried out </w:t>
      </w:r>
      <w:r w:rsidR="00312002" w:rsidRPr="00FA7FE1">
        <w:rPr>
          <w:rFonts w:cs="Tahoma"/>
          <w:bCs/>
          <w:lang w:val="en-GB"/>
        </w:rPr>
        <w:t xml:space="preserve">periodically </w:t>
      </w:r>
      <w:r w:rsidR="001213F4" w:rsidRPr="00FA7FE1">
        <w:rPr>
          <w:rFonts w:cs="Tahoma"/>
          <w:bCs/>
          <w:lang w:val="en-GB"/>
        </w:rPr>
        <w:t>throughout the reporting period</w:t>
      </w:r>
      <w:r w:rsidR="00FC5DAE" w:rsidRPr="00FA7FE1">
        <w:rPr>
          <w:rFonts w:cs="Tahoma"/>
          <w:bCs/>
          <w:lang w:val="en-GB"/>
        </w:rPr>
        <w:t>. I</w:t>
      </w:r>
      <w:r w:rsidR="001213F4" w:rsidRPr="00FA7FE1">
        <w:rPr>
          <w:rFonts w:cs="Tahoma"/>
          <w:bCs/>
          <w:lang w:val="en-GB"/>
        </w:rPr>
        <w:t>n particular</w:t>
      </w:r>
      <w:r w:rsidR="00FC5DAE" w:rsidRPr="00FA7FE1">
        <w:rPr>
          <w:rFonts w:cs="Tahoma"/>
          <w:bCs/>
          <w:lang w:val="en-GB"/>
        </w:rPr>
        <w:t>,</w:t>
      </w:r>
      <w:r w:rsidR="001213F4" w:rsidRPr="00FA7FE1">
        <w:rPr>
          <w:rFonts w:cs="Tahoma"/>
          <w:bCs/>
          <w:lang w:val="en-GB"/>
        </w:rPr>
        <w:t xml:space="preserve"> fencing activity in the </w:t>
      </w:r>
      <w:r w:rsidR="00FC5DAE" w:rsidRPr="00FA7FE1">
        <w:rPr>
          <w:rFonts w:cs="Tahoma"/>
          <w:bCs/>
          <w:lang w:val="en-GB"/>
        </w:rPr>
        <w:t xml:space="preserve">vicinity of </w:t>
      </w:r>
      <w:r w:rsidR="001213F4" w:rsidRPr="00FA7FE1">
        <w:rPr>
          <w:rFonts w:cs="Tahoma"/>
          <w:bCs/>
          <w:lang w:val="en-GB"/>
        </w:rPr>
        <w:t xml:space="preserve">Gori </w:t>
      </w:r>
      <w:r w:rsidR="009D3E1D" w:rsidRPr="00FA7FE1">
        <w:rPr>
          <w:rFonts w:cs="Tahoma"/>
          <w:bCs/>
          <w:lang w:val="en-GB"/>
        </w:rPr>
        <w:t>had been</w:t>
      </w:r>
      <w:r w:rsidR="00FC5DAE" w:rsidRPr="00FA7FE1">
        <w:rPr>
          <w:rFonts w:cs="Tahoma"/>
          <w:bCs/>
          <w:lang w:val="en-GB"/>
        </w:rPr>
        <w:t xml:space="preserve"> reported</w:t>
      </w:r>
      <w:r w:rsidR="001213F4" w:rsidRPr="00FA7FE1">
        <w:rPr>
          <w:rFonts w:cs="Tahoma"/>
          <w:bCs/>
          <w:lang w:val="en-GB"/>
        </w:rPr>
        <w:t xml:space="preserve">. </w:t>
      </w:r>
      <w:r w:rsidR="00EF05BC" w:rsidRPr="00FA7FE1">
        <w:rPr>
          <w:rFonts w:cs="Tahoma"/>
          <w:bCs/>
          <w:lang w:val="en-GB"/>
        </w:rPr>
        <w:t>The Georgian central government has continued to condemn this process in the strongest terms.</w:t>
      </w:r>
      <w:r w:rsidR="00171405" w:rsidRPr="00FA7FE1">
        <w:rPr>
          <w:rFonts w:cs="Tahoma"/>
          <w:bCs/>
          <w:lang w:val="en-GB"/>
        </w:rPr>
        <w:t xml:space="preserve"> Efforts towards de-escalation took place in technical meetings in Ergneti, facilitated by the EUMM and the OSCE. It was reported that seven such meetings </w:t>
      </w:r>
      <w:r w:rsidR="001C799B" w:rsidRPr="00FA7FE1">
        <w:rPr>
          <w:rFonts w:cs="Tahoma"/>
          <w:bCs/>
          <w:lang w:val="en-GB"/>
        </w:rPr>
        <w:t xml:space="preserve">had taken </w:t>
      </w:r>
      <w:r w:rsidR="00171405" w:rsidRPr="00FA7FE1">
        <w:rPr>
          <w:rFonts w:cs="Tahoma"/>
          <w:bCs/>
          <w:lang w:val="en-GB"/>
        </w:rPr>
        <w:t xml:space="preserve">place during the reporting period, the last one in November 2019. There was no regular meeting of the IPRM as such. As reported to the delegation by representatives of the Georgian central government, the South Ossetian participants associate the disruption of the IPRM to developments </w:t>
      </w:r>
      <w:r w:rsidR="00171405" w:rsidRPr="00FA7FE1">
        <w:rPr>
          <w:rFonts w:cs="Tahoma"/>
          <w:lang w:val="en-GB"/>
        </w:rPr>
        <w:t xml:space="preserve">in the Chorchana–Tsnelisi area. </w:t>
      </w:r>
    </w:p>
    <w:p w14:paraId="16C9C367" w14:textId="77777777" w:rsidR="002E11E3" w:rsidRPr="00FA7FE1" w:rsidRDefault="002E11E3" w:rsidP="002A3CE8">
      <w:pPr>
        <w:rPr>
          <w:rFonts w:cs="Tahoma"/>
          <w:bCs/>
          <w:lang w:val="en-GB"/>
        </w:rPr>
      </w:pPr>
    </w:p>
    <w:p w14:paraId="3DB07EFD" w14:textId="709BA49E" w:rsidR="00C02FA0" w:rsidRPr="00FA7FE1" w:rsidRDefault="002E11E3" w:rsidP="009D5C14">
      <w:pPr>
        <w:pStyle w:val="ListParagraph"/>
        <w:numPr>
          <w:ilvl w:val="0"/>
          <w:numId w:val="5"/>
        </w:numPr>
        <w:tabs>
          <w:tab w:val="clear" w:pos="360"/>
          <w:tab w:val="num" w:pos="0"/>
        </w:tabs>
        <w:ind w:left="0" w:firstLine="0"/>
        <w:jc w:val="both"/>
        <w:rPr>
          <w:rFonts w:cs="Tahoma"/>
          <w:bCs/>
          <w:lang w:val="en-GB"/>
        </w:rPr>
      </w:pPr>
      <w:r w:rsidRPr="00FA7FE1">
        <w:rPr>
          <w:rFonts w:cs="Tahoma"/>
          <w:bCs/>
          <w:lang w:val="en-GB"/>
        </w:rPr>
        <w:t xml:space="preserve">In connection with these developments, the crossing points on the </w:t>
      </w:r>
      <w:r w:rsidR="00A87F30" w:rsidRPr="00FA7FE1">
        <w:rPr>
          <w:rFonts w:cs="Tahoma"/>
          <w:bCs/>
          <w:lang w:val="en-GB"/>
        </w:rPr>
        <w:t>Administrative Boundary Line</w:t>
      </w:r>
      <w:r w:rsidRPr="00FA7FE1">
        <w:rPr>
          <w:rFonts w:cs="Tahoma"/>
          <w:bCs/>
          <w:lang w:val="en-GB"/>
        </w:rPr>
        <w:t xml:space="preserve">, including the main one Mosabruni/Odzisi, have </w:t>
      </w:r>
      <w:r w:rsidR="005813B2" w:rsidRPr="00FA7FE1">
        <w:rPr>
          <w:rFonts w:cs="Tahoma"/>
          <w:bCs/>
          <w:lang w:val="en-GB"/>
        </w:rPr>
        <w:t xml:space="preserve">essentially </w:t>
      </w:r>
      <w:r w:rsidR="009D3E1D" w:rsidRPr="00FA7FE1">
        <w:rPr>
          <w:rFonts w:cs="Tahoma"/>
          <w:bCs/>
          <w:lang w:val="en-GB"/>
        </w:rPr>
        <w:t xml:space="preserve">remained </w:t>
      </w:r>
      <w:r w:rsidRPr="00FA7FE1">
        <w:rPr>
          <w:rFonts w:cs="Tahoma"/>
          <w:bCs/>
          <w:lang w:val="en-GB"/>
        </w:rPr>
        <w:t>closed</w:t>
      </w:r>
      <w:r w:rsidR="00F73D28" w:rsidRPr="00FA7FE1">
        <w:rPr>
          <w:rFonts w:cs="Tahoma"/>
          <w:bCs/>
          <w:lang w:val="en-GB"/>
        </w:rPr>
        <w:t>,</w:t>
      </w:r>
      <w:r w:rsidRPr="00FA7FE1">
        <w:rPr>
          <w:rFonts w:cs="Tahoma"/>
          <w:bCs/>
          <w:lang w:val="en-GB"/>
        </w:rPr>
        <w:t xml:space="preserve"> allegedly for security reasons</w:t>
      </w:r>
      <w:r w:rsidR="00451DCD" w:rsidRPr="00FA7FE1">
        <w:rPr>
          <w:rFonts w:cs="Tahoma"/>
          <w:bCs/>
          <w:lang w:val="en-GB"/>
        </w:rPr>
        <w:t xml:space="preserve">, with the exception of grave humanitarian cases. </w:t>
      </w:r>
      <w:r w:rsidR="00312002" w:rsidRPr="00FA7FE1">
        <w:rPr>
          <w:rFonts w:cs="Tahoma"/>
          <w:lang w:val="en-GB"/>
        </w:rPr>
        <w:t>By the end of</w:t>
      </w:r>
      <w:r w:rsidR="009D5C14" w:rsidRPr="00FA7FE1">
        <w:rPr>
          <w:rFonts w:cs="Tahoma"/>
          <w:lang w:val="en-GB"/>
        </w:rPr>
        <w:t xml:space="preserve"> January, the </w:t>
      </w:r>
      <w:r w:rsidR="009D5C14" w:rsidRPr="00FA7FE1">
        <w:rPr>
          <w:rFonts w:cs="Tahoma"/>
          <w:i/>
          <w:iCs/>
          <w:lang w:val="en-GB"/>
        </w:rPr>
        <w:t>de facto</w:t>
      </w:r>
      <w:r w:rsidR="009D5C14" w:rsidRPr="00FA7FE1">
        <w:rPr>
          <w:rFonts w:cs="Tahoma"/>
          <w:lang w:val="en-GB"/>
        </w:rPr>
        <w:t xml:space="preserve"> authorities in South Ossetia indicated that the main crossing point would be open for ten days every two months for the collection of pensions </w:t>
      </w:r>
      <w:r w:rsidR="00C02FA0" w:rsidRPr="00FA7FE1">
        <w:rPr>
          <w:rFonts w:cs="Tahoma"/>
          <w:lang w:val="en-GB"/>
        </w:rPr>
        <w:t>by ethnic Georgians only</w:t>
      </w:r>
      <w:r w:rsidR="009D5C14" w:rsidRPr="00FA7FE1">
        <w:rPr>
          <w:rFonts w:cs="Tahoma"/>
          <w:lang w:val="en-GB"/>
        </w:rPr>
        <w:t>.</w:t>
      </w:r>
      <w:r w:rsidR="006D7C8B" w:rsidRPr="00FA7FE1">
        <w:rPr>
          <w:rFonts w:cs="Tahoma"/>
          <w:lang w:val="en-GB"/>
        </w:rPr>
        <w:t xml:space="preserve"> </w:t>
      </w:r>
    </w:p>
    <w:p w14:paraId="370495F7" w14:textId="77777777" w:rsidR="00C02FA0" w:rsidRPr="00FA7FE1" w:rsidRDefault="00C02FA0" w:rsidP="00CA7654">
      <w:pPr>
        <w:pStyle w:val="ListParagraph"/>
        <w:rPr>
          <w:rFonts w:cs="Tahoma"/>
          <w:lang w:val="en-GB"/>
        </w:rPr>
      </w:pPr>
    </w:p>
    <w:p w14:paraId="66599078" w14:textId="58E43BF1" w:rsidR="00312002" w:rsidRPr="00FA7FE1" w:rsidRDefault="009D5C14" w:rsidP="002A3CE8">
      <w:pPr>
        <w:pStyle w:val="ListParagraph"/>
        <w:numPr>
          <w:ilvl w:val="0"/>
          <w:numId w:val="5"/>
        </w:numPr>
        <w:tabs>
          <w:tab w:val="clear" w:pos="360"/>
          <w:tab w:val="num" w:pos="0"/>
        </w:tabs>
        <w:ind w:left="0" w:firstLine="0"/>
        <w:jc w:val="both"/>
        <w:rPr>
          <w:rFonts w:cs="Tahoma"/>
          <w:bCs/>
          <w:lang w:val="en-GB"/>
        </w:rPr>
      </w:pPr>
      <w:r w:rsidRPr="00FA7FE1">
        <w:rPr>
          <w:rFonts w:cs="Tahoma"/>
          <w:lang w:val="en-GB"/>
        </w:rPr>
        <w:t xml:space="preserve"> </w:t>
      </w:r>
      <w:r w:rsidR="00451DCD" w:rsidRPr="00FA7FE1">
        <w:rPr>
          <w:rFonts w:cs="Tahoma"/>
          <w:lang w:val="en-GB"/>
        </w:rPr>
        <w:t>Representatives of the Georgian central government expressed concern that this policy of closure reflects an instrumentali</w:t>
      </w:r>
      <w:r w:rsidR="009D3E1D" w:rsidRPr="00FA7FE1">
        <w:rPr>
          <w:rFonts w:cs="Tahoma"/>
          <w:lang w:val="en-GB"/>
        </w:rPr>
        <w:t>s</w:t>
      </w:r>
      <w:r w:rsidR="00451DCD" w:rsidRPr="00FA7FE1">
        <w:rPr>
          <w:rFonts w:cs="Tahoma"/>
          <w:lang w:val="en-GB"/>
        </w:rPr>
        <w:t>ation of the humanitarian situation.</w:t>
      </w:r>
      <w:r w:rsidR="00C02FA0" w:rsidRPr="00FA7FE1">
        <w:rPr>
          <w:rFonts w:cs="Tahoma"/>
          <w:lang w:val="en-GB"/>
        </w:rPr>
        <w:t xml:space="preserve"> Other interlocutors described the situation as a </w:t>
      </w:r>
      <w:r w:rsidR="000A5A90" w:rsidRPr="00FA7FE1">
        <w:rPr>
          <w:rFonts w:cs="Tahoma"/>
          <w:lang w:val="en-GB"/>
        </w:rPr>
        <w:t xml:space="preserve">serious impediment to the </w:t>
      </w:r>
      <w:r w:rsidR="00C02FA0" w:rsidRPr="00FA7FE1">
        <w:rPr>
          <w:rFonts w:cs="Tahoma"/>
          <w:lang w:val="en-GB"/>
        </w:rPr>
        <w:t>freedom of movement</w:t>
      </w:r>
      <w:r w:rsidR="000A5A90" w:rsidRPr="00FA7FE1">
        <w:rPr>
          <w:rFonts w:cs="Tahoma"/>
          <w:lang w:val="en-GB"/>
        </w:rPr>
        <w:t xml:space="preserve"> severely affecting the local population, especially in the Akhalgori sector, in terms of </w:t>
      </w:r>
      <w:r w:rsidR="009D3E1D" w:rsidRPr="00FA7FE1">
        <w:rPr>
          <w:rFonts w:cs="Tahoma"/>
          <w:lang w:val="en-GB"/>
        </w:rPr>
        <w:t xml:space="preserve">the </w:t>
      </w:r>
      <w:r w:rsidR="000A5A90" w:rsidRPr="00FA7FE1">
        <w:rPr>
          <w:rFonts w:cs="Tahoma"/>
          <w:lang w:val="en-GB"/>
        </w:rPr>
        <w:t>humanitarian situation, access to livel</w:t>
      </w:r>
      <w:r w:rsidR="00171405" w:rsidRPr="00FA7FE1">
        <w:rPr>
          <w:rFonts w:cs="Tahoma"/>
          <w:lang w:val="en-GB"/>
        </w:rPr>
        <w:t>i</w:t>
      </w:r>
      <w:r w:rsidR="000A5A90" w:rsidRPr="00FA7FE1">
        <w:rPr>
          <w:rFonts w:cs="Tahoma"/>
          <w:lang w:val="en-GB"/>
        </w:rPr>
        <w:t xml:space="preserve">hoods and </w:t>
      </w:r>
      <w:r w:rsidR="00171405" w:rsidRPr="00FA7FE1">
        <w:rPr>
          <w:rFonts w:cs="Tahoma"/>
          <w:lang w:val="en-GB"/>
        </w:rPr>
        <w:t>to basic necessary service, including health</w:t>
      </w:r>
      <w:r w:rsidR="009D3E1D" w:rsidRPr="00FA7FE1">
        <w:rPr>
          <w:rFonts w:cs="Tahoma"/>
          <w:lang w:val="en-GB"/>
        </w:rPr>
        <w:t xml:space="preserve"> </w:t>
      </w:r>
      <w:r w:rsidR="00171405" w:rsidRPr="00FA7FE1">
        <w:rPr>
          <w:rFonts w:cs="Tahoma"/>
          <w:lang w:val="en-GB"/>
        </w:rPr>
        <w:t>care, i.e. medical evacuations (cf. also below)</w:t>
      </w:r>
      <w:r w:rsidR="00C02FA0" w:rsidRPr="00FA7FE1">
        <w:rPr>
          <w:rFonts w:cs="Tahoma"/>
          <w:lang w:val="en-GB"/>
        </w:rPr>
        <w:t>.</w:t>
      </w:r>
      <w:r w:rsidR="00451DCD" w:rsidRPr="00FA7FE1">
        <w:rPr>
          <w:rFonts w:cs="Tahoma"/>
          <w:lang w:val="en-GB"/>
        </w:rPr>
        <w:t xml:space="preserve"> </w:t>
      </w:r>
      <w:r w:rsidR="006205BE" w:rsidRPr="00FA7FE1">
        <w:rPr>
          <w:rFonts w:cs="Tahoma"/>
          <w:lang w:val="en-GB"/>
        </w:rPr>
        <w:t xml:space="preserve">It was pointed out to the delegation that </w:t>
      </w:r>
      <w:r w:rsidR="006205BE" w:rsidRPr="00FA7FE1">
        <w:rPr>
          <w:rFonts w:cs="Tahoma"/>
          <w:bCs/>
          <w:lang w:val="en-GB"/>
        </w:rPr>
        <w:t>access to medicine also remain</w:t>
      </w:r>
      <w:r w:rsidR="009D3E1D" w:rsidRPr="00FA7FE1">
        <w:rPr>
          <w:rFonts w:cs="Tahoma"/>
          <w:bCs/>
          <w:lang w:val="en-GB"/>
        </w:rPr>
        <w:t>ed</w:t>
      </w:r>
      <w:r w:rsidR="006205BE" w:rsidRPr="00FA7FE1">
        <w:rPr>
          <w:rFonts w:cs="Tahoma"/>
          <w:bCs/>
          <w:lang w:val="en-GB"/>
        </w:rPr>
        <w:t xml:space="preserve"> a problem, amid reports that</w:t>
      </w:r>
      <w:r w:rsidR="009D3E1D" w:rsidRPr="00FA7FE1">
        <w:rPr>
          <w:rFonts w:cs="Tahoma"/>
          <w:bCs/>
          <w:lang w:val="en-GB"/>
        </w:rPr>
        <w:t>,</w:t>
      </w:r>
      <w:r w:rsidR="006205BE" w:rsidRPr="00FA7FE1">
        <w:rPr>
          <w:rFonts w:cs="Tahoma"/>
          <w:bCs/>
          <w:lang w:val="en-GB"/>
        </w:rPr>
        <w:t xml:space="preserve"> in February 2020</w:t>
      </w:r>
      <w:r w:rsidR="009D3E1D" w:rsidRPr="00FA7FE1">
        <w:rPr>
          <w:rFonts w:cs="Tahoma"/>
          <w:bCs/>
          <w:lang w:val="en-GB"/>
        </w:rPr>
        <w:t>,</w:t>
      </w:r>
      <w:r w:rsidR="006205BE" w:rsidRPr="00FA7FE1">
        <w:rPr>
          <w:rFonts w:cs="Tahoma"/>
          <w:bCs/>
          <w:lang w:val="en-GB"/>
        </w:rPr>
        <w:t xml:space="preserve"> </w:t>
      </w:r>
      <w:r w:rsidR="009D3E1D" w:rsidRPr="00FA7FE1">
        <w:rPr>
          <w:rFonts w:cs="Tahoma"/>
          <w:bCs/>
          <w:lang w:val="en-GB"/>
        </w:rPr>
        <w:t xml:space="preserve">the </w:t>
      </w:r>
      <w:r w:rsidR="006205BE" w:rsidRPr="00FA7FE1">
        <w:rPr>
          <w:rFonts w:cs="Tahoma"/>
          <w:bCs/>
          <w:i/>
          <w:iCs/>
          <w:lang w:val="en-GB"/>
        </w:rPr>
        <w:t>de facto</w:t>
      </w:r>
      <w:r w:rsidR="006205BE" w:rsidRPr="00FA7FE1">
        <w:rPr>
          <w:rFonts w:cs="Tahoma"/>
          <w:bCs/>
          <w:lang w:val="en-GB"/>
        </w:rPr>
        <w:t xml:space="preserve"> authorities </w:t>
      </w:r>
      <w:r w:rsidR="009D3E1D" w:rsidRPr="00FA7FE1">
        <w:rPr>
          <w:rFonts w:cs="Tahoma"/>
          <w:bCs/>
          <w:lang w:val="en-GB"/>
        </w:rPr>
        <w:t xml:space="preserve">had </w:t>
      </w:r>
      <w:r w:rsidR="006205BE" w:rsidRPr="00FA7FE1">
        <w:rPr>
          <w:rFonts w:cs="Tahoma"/>
          <w:bCs/>
          <w:lang w:val="en-GB"/>
        </w:rPr>
        <w:t xml:space="preserve">seized Tbilisi-produced medicines in two pharmacies. The </w:t>
      </w:r>
      <w:r w:rsidR="006205BE" w:rsidRPr="00FA7FE1">
        <w:rPr>
          <w:rFonts w:cs="Tahoma"/>
          <w:lang w:val="en-GB"/>
        </w:rPr>
        <w:t>State Minister for Reconciliation and Civic Equality of Georgia strongly denounced this development as also going against humanitarian principles. There are concern</w:t>
      </w:r>
      <w:r w:rsidR="009D3E1D" w:rsidRPr="00FA7FE1">
        <w:rPr>
          <w:rFonts w:cs="Tahoma"/>
          <w:lang w:val="en-GB"/>
        </w:rPr>
        <w:t>s</w:t>
      </w:r>
      <w:r w:rsidR="006205BE" w:rsidRPr="00FA7FE1">
        <w:rPr>
          <w:rFonts w:cs="Tahoma"/>
          <w:lang w:val="en-GB"/>
        </w:rPr>
        <w:t xml:space="preserve"> that this practice, coupled with the closure of the crossing points, </w:t>
      </w:r>
      <w:r w:rsidR="009D3E1D" w:rsidRPr="00FA7FE1">
        <w:rPr>
          <w:rFonts w:cs="Tahoma"/>
          <w:lang w:val="en-GB"/>
        </w:rPr>
        <w:t xml:space="preserve">has </w:t>
      </w:r>
      <w:r w:rsidR="006205BE" w:rsidRPr="00FA7FE1">
        <w:rPr>
          <w:rFonts w:cs="Tahoma"/>
          <w:lang w:val="en-GB"/>
        </w:rPr>
        <w:t>create</w:t>
      </w:r>
      <w:r w:rsidR="009D3E1D" w:rsidRPr="00FA7FE1">
        <w:rPr>
          <w:rFonts w:cs="Tahoma"/>
          <w:lang w:val="en-GB"/>
        </w:rPr>
        <w:t>d</w:t>
      </w:r>
      <w:r w:rsidR="006205BE" w:rsidRPr="00FA7FE1">
        <w:rPr>
          <w:rFonts w:cs="Tahoma"/>
          <w:lang w:val="en-GB"/>
        </w:rPr>
        <w:t xml:space="preserve"> a shortage of medicines and supplies, thus further aggravating the humanitarian situation.</w:t>
      </w:r>
      <w:r w:rsidR="00451DCD" w:rsidRPr="00FA7FE1">
        <w:rPr>
          <w:rFonts w:cs="Tahoma"/>
          <w:lang w:val="en-GB"/>
        </w:rPr>
        <w:t xml:space="preserve"> </w:t>
      </w:r>
    </w:p>
    <w:p w14:paraId="47D351BD" w14:textId="77777777" w:rsidR="009D5C14" w:rsidRPr="00FA7FE1" w:rsidRDefault="009D5C14" w:rsidP="00CA7654">
      <w:pPr>
        <w:pStyle w:val="ListParagraph"/>
        <w:rPr>
          <w:rFonts w:cs="Tahoma"/>
          <w:bCs/>
          <w:lang w:val="en-GB"/>
        </w:rPr>
      </w:pPr>
    </w:p>
    <w:p w14:paraId="44128E94" w14:textId="7B2917DB" w:rsidR="000D3EB0" w:rsidRPr="00FA7FE1" w:rsidRDefault="005813B2" w:rsidP="002A3CE8">
      <w:pPr>
        <w:pStyle w:val="ListParagraph"/>
        <w:numPr>
          <w:ilvl w:val="0"/>
          <w:numId w:val="5"/>
        </w:numPr>
        <w:tabs>
          <w:tab w:val="clear" w:pos="360"/>
          <w:tab w:val="num" w:pos="0"/>
        </w:tabs>
        <w:ind w:left="0" w:firstLine="0"/>
        <w:jc w:val="both"/>
        <w:rPr>
          <w:rFonts w:cs="Tahoma"/>
          <w:bCs/>
          <w:lang w:val="en-GB"/>
        </w:rPr>
      </w:pPr>
      <w:r w:rsidRPr="00FA7FE1">
        <w:rPr>
          <w:rFonts w:cs="Tahoma"/>
          <w:bCs/>
          <w:lang w:val="en-GB"/>
        </w:rPr>
        <w:t xml:space="preserve">The GID Co-Chairs have reiterated their warnings </w:t>
      </w:r>
      <w:r w:rsidR="009D3E1D" w:rsidRPr="00FA7FE1">
        <w:rPr>
          <w:rFonts w:cs="Tahoma"/>
          <w:bCs/>
          <w:lang w:val="en-GB"/>
        </w:rPr>
        <w:t>concerning</w:t>
      </w:r>
      <w:r w:rsidRPr="00FA7FE1">
        <w:rPr>
          <w:rFonts w:cs="Tahoma"/>
          <w:bCs/>
          <w:lang w:val="en-GB"/>
        </w:rPr>
        <w:t xml:space="preserve"> additional hardships and </w:t>
      </w:r>
      <w:r w:rsidR="006D7C8B" w:rsidRPr="00FA7FE1">
        <w:rPr>
          <w:rFonts w:cs="Tahoma"/>
          <w:bCs/>
          <w:lang w:val="en-GB"/>
        </w:rPr>
        <w:t xml:space="preserve">severe impact on the local </w:t>
      </w:r>
      <w:r w:rsidR="00837FC9" w:rsidRPr="00FA7FE1">
        <w:rPr>
          <w:rFonts w:cs="Tahoma"/>
          <w:bCs/>
          <w:lang w:val="en-GB"/>
        </w:rPr>
        <w:t>conflict-affected population</w:t>
      </w:r>
      <w:r w:rsidRPr="00FA7FE1">
        <w:rPr>
          <w:rFonts w:cs="Tahoma"/>
          <w:bCs/>
          <w:lang w:val="en-GB"/>
        </w:rPr>
        <w:t xml:space="preserve"> resulting from these restrictions.</w:t>
      </w:r>
      <w:r w:rsidR="009B5DB4" w:rsidRPr="00FA7FE1">
        <w:rPr>
          <w:rStyle w:val="FootnoteReference"/>
          <w:rFonts w:cs="Tahoma"/>
          <w:bCs/>
          <w:lang w:val="en-GB"/>
        </w:rPr>
        <w:footnoteReference w:id="14"/>
      </w:r>
      <w:r w:rsidRPr="00FA7FE1">
        <w:rPr>
          <w:rFonts w:cs="Tahoma"/>
          <w:bCs/>
          <w:lang w:val="en-GB"/>
        </w:rPr>
        <w:t xml:space="preserve"> </w:t>
      </w:r>
      <w:r w:rsidR="006D7C8B" w:rsidRPr="00FA7FE1">
        <w:rPr>
          <w:rFonts w:cs="Tahoma"/>
          <w:lang w:val="en-GB"/>
        </w:rPr>
        <w:t>They in particular appealed to the relevant actors to re-open, without delay, all crossing points closed since September 2019</w:t>
      </w:r>
      <w:r w:rsidR="009D3E1D" w:rsidRPr="00FA7FE1">
        <w:rPr>
          <w:rFonts w:cs="Tahoma"/>
          <w:lang w:val="en-GB"/>
        </w:rPr>
        <w:t>,</w:t>
      </w:r>
      <w:r w:rsidR="006D7C8B" w:rsidRPr="00FA7FE1">
        <w:rPr>
          <w:rFonts w:cs="Tahoma"/>
          <w:lang w:val="en-GB"/>
        </w:rPr>
        <w:t xml:space="preserve"> pointing out that while the concerns </w:t>
      </w:r>
      <w:r w:rsidR="009D3E1D" w:rsidRPr="00FA7FE1">
        <w:rPr>
          <w:rFonts w:cs="Tahoma"/>
          <w:lang w:val="en-GB"/>
        </w:rPr>
        <w:t>regarding</w:t>
      </w:r>
      <w:r w:rsidR="006D7C8B" w:rsidRPr="00FA7FE1">
        <w:rPr>
          <w:rFonts w:cs="Tahoma"/>
          <w:lang w:val="en-GB"/>
        </w:rPr>
        <w:t xml:space="preserve"> the security situation were shared, steps to address these should be proportional and always take humanitarian aspects into consideration.</w:t>
      </w:r>
      <w:r w:rsidR="009B5DB4" w:rsidRPr="00FA7FE1">
        <w:rPr>
          <w:rStyle w:val="FootnoteReference"/>
          <w:rFonts w:cs="Tahoma"/>
          <w:lang w:val="en-GB"/>
        </w:rPr>
        <w:footnoteReference w:id="15"/>
      </w:r>
      <w:r w:rsidR="006D7C8B" w:rsidRPr="00FA7FE1">
        <w:rPr>
          <w:rFonts w:cs="Tahoma"/>
          <w:lang w:val="en-GB"/>
        </w:rPr>
        <w:t xml:space="preserve"> </w:t>
      </w:r>
      <w:r w:rsidRPr="00FA7FE1">
        <w:rPr>
          <w:rFonts w:cs="Tahoma"/>
          <w:bCs/>
          <w:lang w:val="en-GB"/>
        </w:rPr>
        <w:t xml:space="preserve">The Georgian </w:t>
      </w:r>
      <w:r w:rsidRPr="00FA7FE1">
        <w:rPr>
          <w:rFonts w:cs="Tahoma"/>
          <w:bCs/>
          <w:lang w:val="en-GB"/>
        </w:rPr>
        <w:lastRenderedPageBreak/>
        <w:t xml:space="preserve">central government and the international community also repeated </w:t>
      </w:r>
      <w:r w:rsidR="009D3E1D" w:rsidRPr="00FA7FE1">
        <w:rPr>
          <w:rFonts w:cs="Tahoma"/>
          <w:bCs/>
          <w:lang w:val="en-GB"/>
        </w:rPr>
        <w:t xml:space="preserve">the </w:t>
      </w:r>
      <w:r w:rsidRPr="00FA7FE1">
        <w:rPr>
          <w:rFonts w:cs="Tahoma"/>
          <w:bCs/>
          <w:lang w:val="en-GB"/>
        </w:rPr>
        <w:t xml:space="preserve">concerns </w:t>
      </w:r>
      <w:r w:rsidR="009D3E1D" w:rsidRPr="00FA7FE1">
        <w:rPr>
          <w:rFonts w:cs="Tahoma"/>
          <w:bCs/>
          <w:lang w:val="en-GB"/>
        </w:rPr>
        <w:t>of</w:t>
      </w:r>
      <w:r w:rsidRPr="00FA7FE1">
        <w:rPr>
          <w:rFonts w:cs="Tahoma"/>
          <w:bCs/>
          <w:lang w:val="en-GB"/>
        </w:rPr>
        <w:t xml:space="preserve"> the humanitarian impact on the local population, citing as a tragic illustration </w:t>
      </w:r>
      <w:r w:rsidR="00EF05BC" w:rsidRPr="00FA7FE1">
        <w:rPr>
          <w:rFonts w:cs="Tahoma"/>
          <w:bCs/>
          <w:lang w:val="en-GB"/>
        </w:rPr>
        <w:t>the</w:t>
      </w:r>
      <w:r w:rsidRPr="00FA7FE1">
        <w:rPr>
          <w:rFonts w:cs="Tahoma"/>
          <w:bCs/>
          <w:lang w:val="en-GB"/>
        </w:rPr>
        <w:t xml:space="preserve"> death of a woman in need of urgent medical evacuation on 29 October</w:t>
      </w:r>
      <w:r w:rsidR="009D3E1D" w:rsidRPr="00FA7FE1">
        <w:rPr>
          <w:rFonts w:cs="Tahoma"/>
          <w:bCs/>
          <w:lang w:val="en-GB"/>
        </w:rPr>
        <w:t xml:space="preserve"> 2019</w:t>
      </w:r>
      <w:r w:rsidRPr="00FA7FE1">
        <w:rPr>
          <w:rFonts w:cs="Tahoma"/>
          <w:bCs/>
          <w:lang w:val="en-GB"/>
        </w:rPr>
        <w:t>.</w:t>
      </w:r>
      <w:r w:rsidR="004D2D1E" w:rsidRPr="00FA7FE1">
        <w:rPr>
          <w:rFonts w:cs="Tahoma"/>
          <w:bCs/>
          <w:lang w:val="en-GB"/>
        </w:rPr>
        <w:t xml:space="preserve"> </w:t>
      </w:r>
      <w:r w:rsidR="0065272F" w:rsidRPr="00FA7FE1">
        <w:rPr>
          <w:rFonts w:cs="Tahoma"/>
          <w:bCs/>
          <w:lang w:val="en-GB"/>
        </w:rPr>
        <w:t xml:space="preserve">Other cases of local residents unable to get medical treatment in due time </w:t>
      </w:r>
      <w:r w:rsidR="00BC41B2" w:rsidRPr="00FA7FE1">
        <w:rPr>
          <w:rFonts w:cs="Tahoma"/>
          <w:bCs/>
          <w:lang w:val="en-GB"/>
        </w:rPr>
        <w:t>have</w:t>
      </w:r>
      <w:r w:rsidR="0065272F" w:rsidRPr="00FA7FE1">
        <w:rPr>
          <w:rFonts w:cs="Tahoma"/>
          <w:bCs/>
          <w:lang w:val="en-GB"/>
        </w:rPr>
        <w:t xml:space="preserve"> </w:t>
      </w:r>
      <w:r w:rsidR="00837FC9" w:rsidRPr="00FA7FE1">
        <w:rPr>
          <w:rFonts w:cs="Tahoma"/>
          <w:bCs/>
          <w:lang w:val="en-GB"/>
        </w:rPr>
        <w:t>also</w:t>
      </w:r>
      <w:r w:rsidR="00BC41B2" w:rsidRPr="00FA7FE1">
        <w:rPr>
          <w:rFonts w:cs="Tahoma"/>
          <w:bCs/>
          <w:lang w:val="en-GB"/>
        </w:rPr>
        <w:t xml:space="preserve"> been</w:t>
      </w:r>
      <w:r w:rsidR="00837FC9" w:rsidRPr="00FA7FE1">
        <w:rPr>
          <w:rFonts w:cs="Tahoma"/>
          <w:bCs/>
          <w:lang w:val="en-GB"/>
        </w:rPr>
        <w:t xml:space="preserve"> </w:t>
      </w:r>
      <w:r w:rsidR="0065272F" w:rsidRPr="00FA7FE1">
        <w:rPr>
          <w:rFonts w:cs="Tahoma"/>
          <w:bCs/>
          <w:lang w:val="en-GB"/>
        </w:rPr>
        <w:t xml:space="preserve">reported. </w:t>
      </w:r>
      <w:r w:rsidR="00837FC9" w:rsidRPr="00FA7FE1">
        <w:rPr>
          <w:rFonts w:cs="Tahoma"/>
          <w:bCs/>
          <w:lang w:val="en-GB"/>
        </w:rPr>
        <w:t>T</w:t>
      </w:r>
      <w:r w:rsidR="004D2D1E" w:rsidRPr="00FA7FE1">
        <w:rPr>
          <w:rFonts w:cs="Tahoma"/>
          <w:bCs/>
          <w:lang w:val="en-GB"/>
        </w:rPr>
        <w:t>he need to ensure that all urgent cases are duly processed was stressed.</w:t>
      </w:r>
      <w:r w:rsidR="000D3EB0" w:rsidRPr="00FA7FE1">
        <w:rPr>
          <w:rStyle w:val="FootnoteReference"/>
          <w:rFonts w:cs="Tahoma"/>
          <w:bCs/>
          <w:lang w:val="en-GB"/>
        </w:rPr>
        <w:footnoteReference w:id="16"/>
      </w:r>
    </w:p>
    <w:p w14:paraId="499E78A2" w14:textId="77777777" w:rsidR="00CF29A3" w:rsidRPr="00FA7FE1" w:rsidRDefault="00CF29A3" w:rsidP="00976CDB">
      <w:pPr>
        <w:pStyle w:val="ListParagraph"/>
        <w:ind w:left="0"/>
        <w:jc w:val="both"/>
        <w:rPr>
          <w:rFonts w:cs="Tahoma"/>
          <w:bCs/>
          <w:lang w:val="en-GB"/>
        </w:rPr>
      </w:pPr>
    </w:p>
    <w:p w14:paraId="3835C290" w14:textId="19F557DD" w:rsidR="008C0A8D" w:rsidRPr="00FA7FE1" w:rsidRDefault="008C0A8D" w:rsidP="008C0A8D">
      <w:pPr>
        <w:pStyle w:val="ListParagraph"/>
        <w:numPr>
          <w:ilvl w:val="0"/>
          <w:numId w:val="5"/>
        </w:numPr>
        <w:tabs>
          <w:tab w:val="clear" w:pos="360"/>
          <w:tab w:val="num" w:pos="0"/>
        </w:tabs>
        <w:ind w:left="0" w:firstLine="0"/>
        <w:jc w:val="both"/>
        <w:rPr>
          <w:rFonts w:cs="Tahoma"/>
          <w:bCs/>
          <w:lang w:val="en-GB"/>
        </w:rPr>
      </w:pPr>
      <w:r w:rsidRPr="00FA7FE1">
        <w:rPr>
          <w:rFonts w:cs="Tahoma"/>
          <w:bCs/>
          <w:lang w:val="en-GB"/>
        </w:rPr>
        <w:t xml:space="preserve">A strict arbitrary detention practice continues to be enforced for violations of the crossing </w:t>
      </w:r>
      <w:r w:rsidR="00D52F94" w:rsidRPr="00FA7FE1">
        <w:rPr>
          <w:rFonts w:cs="Tahoma"/>
          <w:bCs/>
          <w:lang w:val="en-GB"/>
        </w:rPr>
        <w:t>restrictions</w:t>
      </w:r>
      <w:r w:rsidRPr="00FA7FE1">
        <w:rPr>
          <w:rFonts w:cs="Tahoma"/>
          <w:bCs/>
          <w:lang w:val="en-GB"/>
        </w:rPr>
        <w:t xml:space="preserve">, raising major issues from a human security and human rights perspective. The Georgian authorities informed that </w:t>
      </w:r>
      <w:r w:rsidR="0065272F" w:rsidRPr="00FA7FE1">
        <w:rPr>
          <w:rFonts w:cs="Tahoma"/>
          <w:bCs/>
          <w:lang w:val="en-GB"/>
        </w:rPr>
        <w:t xml:space="preserve">24 </w:t>
      </w:r>
      <w:r w:rsidRPr="00FA7FE1">
        <w:rPr>
          <w:rFonts w:cs="Tahoma"/>
          <w:bCs/>
          <w:lang w:val="en-GB"/>
        </w:rPr>
        <w:t xml:space="preserve">people </w:t>
      </w:r>
      <w:r w:rsidR="009D3E1D" w:rsidRPr="00FA7FE1">
        <w:rPr>
          <w:rFonts w:cs="Tahoma"/>
          <w:bCs/>
          <w:lang w:val="en-GB"/>
        </w:rPr>
        <w:t>had been</w:t>
      </w:r>
      <w:r w:rsidRPr="00FA7FE1">
        <w:rPr>
          <w:rFonts w:cs="Tahoma"/>
          <w:bCs/>
          <w:lang w:val="en-GB"/>
        </w:rPr>
        <w:t xml:space="preserve"> detained by </w:t>
      </w:r>
      <w:r w:rsidR="009D3E1D" w:rsidRPr="00FA7FE1">
        <w:rPr>
          <w:rFonts w:cs="Tahoma"/>
          <w:bCs/>
          <w:lang w:val="en-GB"/>
        </w:rPr>
        <w:t xml:space="preserve">the </w:t>
      </w:r>
      <w:r w:rsidRPr="00FA7FE1">
        <w:rPr>
          <w:rFonts w:cs="Tahoma"/>
          <w:bCs/>
          <w:i/>
          <w:iCs/>
          <w:lang w:val="en-GB"/>
        </w:rPr>
        <w:t>de facto</w:t>
      </w:r>
      <w:r w:rsidRPr="00FA7FE1">
        <w:rPr>
          <w:rFonts w:cs="Tahoma"/>
          <w:bCs/>
          <w:lang w:val="en-GB"/>
        </w:rPr>
        <w:t xml:space="preserve"> authorities while attempting to cross into territory controlled by the central government during the period under review. Typically, these cases continue to be handled through the EUMM-managed hotline. </w:t>
      </w:r>
      <w:r w:rsidR="00312002" w:rsidRPr="00FA7FE1">
        <w:rPr>
          <w:rFonts w:cs="Tahoma"/>
          <w:bCs/>
          <w:lang w:val="en-GB"/>
        </w:rPr>
        <w:t xml:space="preserve">Representatives of the State Security Service noted </w:t>
      </w:r>
      <w:r w:rsidR="00171405" w:rsidRPr="00FA7FE1">
        <w:rPr>
          <w:rFonts w:cs="Tahoma"/>
          <w:bCs/>
          <w:lang w:val="en-GB"/>
        </w:rPr>
        <w:t xml:space="preserve">however </w:t>
      </w:r>
      <w:r w:rsidR="00312002" w:rsidRPr="00FA7FE1">
        <w:rPr>
          <w:rFonts w:cs="Tahoma"/>
          <w:bCs/>
          <w:lang w:val="en-GB"/>
        </w:rPr>
        <w:t xml:space="preserve">that, although the hotline </w:t>
      </w:r>
      <w:r w:rsidR="009D3E1D" w:rsidRPr="00FA7FE1">
        <w:rPr>
          <w:rFonts w:cs="Tahoma"/>
          <w:bCs/>
          <w:lang w:val="en-GB"/>
        </w:rPr>
        <w:t>ha</w:t>
      </w:r>
      <w:r w:rsidR="00A553B2" w:rsidRPr="00FA7FE1">
        <w:rPr>
          <w:rFonts w:cs="Tahoma"/>
          <w:bCs/>
          <w:lang w:val="en-GB"/>
        </w:rPr>
        <w:t>d</w:t>
      </w:r>
      <w:r w:rsidR="009D3E1D" w:rsidRPr="00FA7FE1">
        <w:rPr>
          <w:rFonts w:cs="Tahoma"/>
          <w:bCs/>
          <w:lang w:val="en-GB"/>
        </w:rPr>
        <w:t xml:space="preserve"> been</w:t>
      </w:r>
      <w:r w:rsidR="00312002" w:rsidRPr="00FA7FE1">
        <w:rPr>
          <w:rFonts w:cs="Tahoma"/>
          <w:bCs/>
          <w:lang w:val="en-GB"/>
        </w:rPr>
        <w:t xml:space="preserve"> activated, it function</w:t>
      </w:r>
      <w:r w:rsidR="009D3E1D" w:rsidRPr="00FA7FE1">
        <w:rPr>
          <w:rFonts w:cs="Tahoma"/>
          <w:bCs/>
          <w:lang w:val="en-GB"/>
        </w:rPr>
        <w:t>ed</w:t>
      </w:r>
      <w:r w:rsidR="00312002" w:rsidRPr="00FA7FE1">
        <w:rPr>
          <w:rFonts w:cs="Tahoma"/>
          <w:bCs/>
          <w:lang w:val="en-GB"/>
        </w:rPr>
        <w:t xml:space="preserve"> poorly.</w:t>
      </w:r>
      <w:r w:rsidR="00455DA3" w:rsidRPr="00FA7FE1">
        <w:rPr>
          <w:rFonts w:cs="Tahoma"/>
          <w:bCs/>
          <w:lang w:val="en-GB"/>
        </w:rPr>
        <w:t xml:space="preserve"> Representatives of the </w:t>
      </w:r>
      <w:r w:rsidR="00FC4A5B" w:rsidRPr="00FA7FE1">
        <w:rPr>
          <w:rFonts w:cs="Tahoma"/>
          <w:lang w:val="en-GB"/>
        </w:rPr>
        <w:t>Office of the Georgian State Minister for Reconciliation and Civic Equality (</w:t>
      </w:r>
      <w:r w:rsidR="00455DA3" w:rsidRPr="00FA7FE1">
        <w:rPr>
          <w:rFonts w:cs="Tahoma"/>
          <w:bCs/>
          <w:lang w:val="en-GB"/>
        </w:rPr>
        <w:t>SMR</w:t>
      </w:r>
      <w:r w:rsidR="00FC4A5B" w:rsidRPr="00FA7FE1">
        <w:rPr>
          <w:rFonts w:cs="Tahoma"/>
          <w:bCs/>
          <w:lang w:val="en-GB"/>
        </w:rPr>
        <w:t>)</w:t>
      </w:r>
      <w:r w:rsidR="00455DA3" w:rsidRPr="00FA7FE1">
        <w:rPr>
          <w:rFonts w:cs="Tahoma"/>
          <w:bCs/>
          <w:lang w:val="en-GB"/>
        </w:rPr>
        <w:t xml:space="preserve"> also pointed</w:t>
      </w:r>
      <w:r w:rsidR="009D3E1D" w:rsidRPr="00FA7FE1">
        <w:rPr>
          <w:rFonts w:cs="Tahoma"/>
          <w:bCs/>
          <w:lang w:val="en-GB"/>
        </w:rPr>
        <w:t xml:space="preserve"> out</w:t>
      </w:r>
      <w:r w:rsidR="00455DA3" w:rsidRPr="00FA7FE1">
        <w:rPr>
          <w:rFonts w:cs="Tahoma"/>
          <w:bCs/>
          <w:lang w:val="en-GB"/>
        </w:rPr>
        <w:t xml:space="preserve"> that six times more people </w:t>
      </w:r>
      <w:r w:rsidR="009D3E1D" w:rsidRPr="00FA7FE1">
        <w:rPr>
          <w:rFonts w:cs="Tahoma"/>
          <w:bCs/>
          <w:lang w:val="en-GB"/>
        </w:rPr>
        <w:t>had been</w:t>
      </w:r>
      <w:r w:rsidR="00455DA3" w:rsidRPr="00FA7FE1">
        <w:rPr>
          <w:rFonts w:cs="Tahoma"/>
          <w:bCs/>
          <w:lang w:val="en-GB"/>
        </w:rPr>
        <w:t xml:space="preserve"> precluded from crossing without necessarily being detained. </w:t>
      </w:r>
    </w:p>
    <w:p w14:paraId="355D6485" w14:textId="77777777" w:rsidR="008B5688" w:rsidRPr="00FA7FE1" w:rsidRDefault="008B5688" w:rsidP="00CA7654">
      <w:pPr>
        <w:pStyle w:val="ListParagraph"/>
        <w:ind w:left="0"/>
        <w:jc w:val="both"/>
        <w:rPr>
          <w:rFonts w:cs="Tahoma"/>
          <w:bCs/>
          <w:lang w:val="en-GB"/>
        </w:rPr>
      </w:pPr>
    </w:p>
    <w:p w14:paraId="0F22033F" w14:textId="36C9BD57" w:rsidR="008B5688" w:rsidRPr="00FA7FE1" w:rsidRDefault="008B5688" w:rsidP="00CA7654">
      <w:pPr>
        <w:pStyle w:val="ListParagraph"/>
        <w:numPr>
          <w:ilvl w:val="0"/>
          <w:numId w:val="5"/>
        </w:numPr>
        <w:tabs>
          <w:tab w:val="clear" w:pos="360"/>
          <w:tab w:val="num" w:pos="0"/>
        </w:tabs>
        <w:ind w:left="0" w:firstLine="0"/>
        <w:jc w:val="both"/>
        <w:rPr>
          <w:rFonts w:cs="Tahoma"/>
          <w:bCs/>
          <w:lang w:val="en-GB"/>
        </w:rPr>
      </w:pPr>
      <w:r w:rsidRPr="00FA7FE1">
        <w:rPr>
          <w:rFonts w:cs="Tahoma"/>
          <w:bCs/>
          <w:lang w:val="en-GB"/>
        </w:rPr>
        <w:t xml:space="preserve">The delegation’s attention was also drawn to the detention of well-known traumatologist Dr. Vazha Gaprindashvili, </w:t>
      </w:r>
      <w:r w:rsidR="00171405" w:rsidRPr="00FA7FE1">
        <w:rPr>
          <w:rFonts w:cs="Tahoma"/>
          <w:bCs/>
          <w:lang w:val="en-GB"/>
        </w:rPr>
        <w:t>detained by the</w:t>
      </w:r>
      <w:r w:rsidRPr="00FA7FE1">
        <w:rPr>
          <w:rFonts w:cs="Tahoma"/>
          <w:bCs/>
          <w:lang w:val="en-GB"/>
        </w:rPr>
        <w:t xml:space="preserve"> South Ossetia</w:t>
      </w:r>
      <w:r w:rsidR="009D3E1D" w:rsidRPr="00FA7FE1">
        <w:rPr>
          <w:rFonts w:cs="Tahoma"/>
          <w:bCs/>
          <w:lang w:val="en-GB"/>
        </w:rPr>
        <w:t>n</w:t>
      </w:r>
      <w:r w:rsidR="00171405" w:rsidRPr="00FA7FE1">
        <w:rPr>
          <w:rFonts w:cs="Tahoma"/>
          <w:bCs/>
          <w:lang w:val="en-GB"/>
        </w:rPr>
        <w:t xml:space="preserve"> </w:t>
      </w:r>
      <w:r w:rsidR="009D3E1D" w:rsidRPr="00FA7FE1">
        <w:rPr>
          <w:rFonts w:cs="Tahoma"/>
          <w:bCs/>
          <w:i/>
          <w:iCs/>
          <w:lang w:val="en-GB"/>
        </w:rPr>
        <w:t xml:space="preserve">de facto </w:t>
      </w:r>
      <w:r w:rsidR="00171405" w:rsidRPr="00FA7FE1">
        <w:rPr>
          <w:rFonts w:cs="Tahoma"/>
          <w:bCs/>
          <w:lang w:val="en-GB"/>
        </w:rPr>
        <w:t>authorities</w:t>
      </w:r>
      <w:r w:rsidRPr="00FA7FE1">
        <w:rPr>
          <w:rFonts w:cs="Tahoma"/>
          <w:bCs/>
          <w:lang w:val="en-GB"/>
        </w:rPr>
        <w:t xml:space="preserve">. </w:t>
      </w:r>
      <w:r w:rsidR="00171405" w:rsidRPr="00FA7FE1">
        <w:rPr>
          <w:rFonts w:cs="Tahoma"/>
          <w:bCs/>
          <w:lang w:val="en-GB"/>
        </w:rPr>
        <w:t>The case had prompted national and international concerns</w:t>
      </w:r>
      <w:r w:rsidR="00FC4A5B" w:rsidRPr="00FA7FE1">
        <w:rPr>
          <w:rFonts w:cs="Tahoma"/>
          <w:bCs/>
          <w:lang w:val="en-GB"/>
        </w:rPr>
        <w:t xml:space="preserve">, </w:t>
      </w:r>
      <w:r w:rsidR="0089248C">
        <w:rPr>
          <w:rFonts w:cs="Tahoma"/>
          <w:bCs/>
          <w:lang w:val="en-GB"/>
        </w:rPr>
        <w:t xml:space="preserve">including by the Council of Europe, </w:t>
      </w:r>
      <w:r w:rsidR="00FC4A5B" w:rsidRPr="00FA7FE1">
        <w:rPr>
          <w:rFonts w:cs="Tahoma"/>
          <w:bCs/>
          <w:lang w:val="en-GB"/>
        </w:rPr>
        <w:t>which led to Mr Gaprindashvili’s release</w:t>
      </w:r>
      <w:r w:rsidRPr="00FA7FE1">
        <w:rPr>
          <w:rFonts w:cs="Tahoma"/>
          <w:bCs/>
          <w:lang w:val="en-GB"/>
        </w:rPr>
        <w:t xml:space="preserve"> after two months of detention. The Georgian central government vividly denounced </w:t>
      </w:r>
      <w:r w:rsidR="004B2B3A" w:rsidRPr="00FA7FE1">
        <w:rPr>
          <w:rFonts w:cs="Tahoma"/>
          <w:bCs/>
          <w:lang w:val="en-GB"/>
        </w:rPr>
        <w:t>this incident</w:t>
      </w:r>
      <w:r w:rsidRPr="00FA7FE1">
        <w:rPr>
          <w:rFonts w:cs="Tahoma"/>
          <w:bCs/>
          <w:lang w:val="en-GB"/>
        </w:rPr>
        <w:t xml:space="preserve">. </w:t>
      </w:r>
    </w:p>
    <w:p w14:paraId="4C77B208" w14:textId="77777777" w:rsidR="00EB02DD" w:rsidRPr="00FA7FE1" w:rsidRDefault="00EB02DD" w:rsidP="002A3CE8">
      <w:pPr>
        <w:pStyle w:val="ListParagraph"/>
        <w:ind w:left="0"/>
        <w:jc w:val="both"/>
        <w:rPr>
          <w:rFonts w:cs="Tahoma"/>
          <w:bCs/>
          <w:lang w:val="en-GB"/>
        </w:rPr>
      </w:pPr>
    </w:p>
    <w:p w14:paraId="4F8C00A3" w14:textId="26F73F8E" w:rsidR="00EB02DD" w:rsidRPr="00FA7FE1" w:rsidRDefault="00EB02DD" w:rsidP="00EB02DD">
      <w:pPr>
        <w:rPr>
          <w:rFonts w:cs="Tahoma"/>
          <w:bCs/>
          <w:i/>
          <w:iCs/>
          <w:lang w:val="en-GB"/>
        </w:rPr>
      </w:pPr>
      <w:r w:rsidRPr="00FA7FE1">
        <w:rPr>
          <w:rFonts w:cs="Tahoma"/>
          <w:bCs/>
          <w:i/>
          <w:iCs/>
          <w:lang w:val="en-GB"/>
        </w:rPr>
        <w:t>III.2.iii</w:t>
      </w:r>
      <w:r w:rsidRPr="00FA7FE1">
        <w:rPr>
          <w:rFonts w:cs="Tahoma"/>
          <w:bCs/>
          <w:i/>
          <w:iCs/>
          <w:lang w:val="en-GB"/>
        </w:rPr>
        <w:tab/>
      </w:r>
      <w:r w:rsidR="00AD1D15" w:rsidRPr="00FA7FE1">
        <w:rPr>
          <w:rFonts w:cs="Tahoma"/>
          <w:bCs/>
          <w:i/>
          <w:iCs/>
          <w:lang w:val="en-GB"/>
        </w:rPr>
        <w:t>Identity documents</w:t>
      </w:r>
    </w:p>
    <w:p w14:paraId="11E85F55" w14:textId="77777777" w:rsidR="00E41F47" w:rsidRPr="00FA7FE1" w:rsidRDefault="00E41F47" w:rsidP="00EB02DD">
      <w:pPr>
        <w:rPr>
          <w:rFonts w:cs="Tahoma"/>
          <w:bCs/>
          <w:i/>
          <w:iCs/>
          <w:lang w:val="en-GB"/>
        </w:rPr>
      </w:pPr>
    </w:p>
    <w:p w14:paraId="490145DB" w14:textId="7796C37E" w:rsidR="00EB02DD" w:rsidRPr="00FA7FE1" w:rsidRDefault="00FC4A5B" w:rsidP="004821CF">
      <w:pPr>
        <w:pStyle w:val="ListParagraph"/>
        <w:numPr>
          <w:ilvl w:val="0"/>
          <w:numId w:val="5"/>
        </w:numPr>
        <w:tabs>
          <w:tab w:val="clear" w:pos="360"/>
          <w:tab w:val="num" w:pos="0"/>
        </w:tabs>
        <w:ind w:left="0" w:firstLine="0"/>
        <w:jc w:val="both"/>
        <w:rPr>
          <w:rFonts w:cs="Tahoma"/>
          <w:bCs/>
          <w:lang w:val="en-GB"/>
        </w:rPr>
      </w:pPr>
      <w:r w:rsidRPr="00FA7FE1">
        <w:rPr>
          <w:rFonts w:cs="Tahoma"/>
          <w:bCs/>
          <w:lang w:val="en-GB"/>
        </w:rPr>
        <w:t>The continued lack of clarity and information on so</w:t>
      </w:r>
      <w:r w:rsidR="001A1F9A" w:rsidRPr="00FA7FE1">
        <w:rPr>
          <w:rFonts w:cs="Tahoma"/>
          <w:bCs/>
          <w:lang w:val="en-GB"/>
        </w:rPr>
        <w:t>-</w:t>
      </w:r>
      <w:r w:rsidRPr="00FA7FE1">
        <w:rPr>
          <w:rFonts w:cs="Tahoma"/>
          <w:bCs/>
          <w:lang w:val="en-GB"/>
        </w:rPr>
        <w:t xml:space="preserve">called crossing “permission documents” for the ethnic Georgian population in Akhalgori remains </w:t>
      </w:r>
      <w:r w:rsidR="000614FF">
        <w:rPr>
          <w:rFonts w:cs="Tahoma"/>
          <w:bCs/>
          <w:lang w:val="en-GB"/>
        </w:rPr>
        <w:t>of</w:t>
      </w:r>
      <w:r w:rsidRPr="00FA7FE1">
        <w:rPr>
          <w:rFonts w:cs="Tahoma"/>
          <w:bCs/>
          <w:lang w:val="en-GB"/>
        </w:rPr>
        <w:t xml:space="preserve"> concern</w:t>
      </w:r>
      <w:r w:rsidR="00EB02DD" w:rsidRPr="00FA7FE1">
        <w:rPr>
          <w:rFonts w:cs="Tahoma"/>
          <w:bCs/>
          <w:lang w:val="en-GB"/>
        </w:rPr>
        <w:t>. According to the SMR, around 300 people were able to cross during the above-mentioned 10</w:t>
      </w:r>
      <w:r w:rsidR="000F6D1F" w:rsidRPr="00FA7FE1">
        <w:rPr>
          <w:rFonts w:cs="Tahoma"/>
          <w:bCs/>
          <w:lang w:val="en-GB"/>
        </w:rPr>
        <w:t>-</w:t>
      </w:r>
      <w:r w:rsidR="00EB02DD" w:rsidRPr="00FA7FE1">
        <w:rPr>
          <w:rFonts w:cs="Tahoma"/>
          <w:bCs/>
          <w:lang w:val="en-GB"/>
        </w:rPr>
        <w:t>day window</w:t>
      </w:r>
      <w:r w:rsidR="00187653" w:rsidRPr="00FA7FE1">
        <w:rPr>
          <w:rFonts w:cs="Tahoma"/>
          <w:bCs/>
          <w:lang w:val="en-GB"/>
        </w:rPr>
        <w:t xml:space="preserve"> (cf. </w:t>
      </w:r>
      <w:r w:rsidR="00972757" w:rsidRPr="00FA7FE1">
        <w:rPr>
          <w:rFonts w:cs="Tahoma"/>
          <w:bCs/>
          <w:lang w:val="en-GB"/>
        </w:rPr>
        <w:t>paragraph 47)</w:t>
      </w:r>
      <w:r w:rsidRPr="00FA7FE1">
        <w:rPr>
          <w:rFonts w:cs="Tahoma"/>
          <w:bCs/>
          <w:lang w:val="en-GB"/>
        </w:rPr>
        <w:t>. However, those who lacked</w:t>
      </w:r>
      <w:r w:rsidR="002D6DAE" w:rsidRPr="00FA7FE1">
        <w:rPr>
          <w:rFonts w:cs="Tahoma"/>
          <w:bCs/>
          <w:lang w:val="en-GB"/>
        </w:rPr>
        <w:t xml:space="preserve"> the</w:t>
      </w:r>
      <w:r w:rsidRPr="00FA7FE1">
        <w:rPr>
          <w:rFonts w:cs="Tahoma"/>
          <w:bCs/>
          <w:lang w:val="en-GB"/>
        </w:rPr>
        <w:t xml:space="preserve"> proper </w:t>
      </w:r>
      <w:r w:rsidR="002D6DAE" w:rsidRPr="00FA7FE1">
        <w:rPr>
          <w:rFonts w:cs="Tahoma"/>
          <w:bCs/>
          <w:lang w:val="en-GB"/>
        </w:rPr>
        <w:t>“</w:t>
      </w:r>
      <w:r w:rsidRPr="00FA7FE1">
        <w:rPr>
          <w:rFonts w:cs="Tahoma"/>
          <w:bCs/>
          <w:lang w:val="en-GB"/>
        </w:rPr>
        <w:t>document</w:t>
      </w:r>
      <w:r w:rsidR="002D6DAE" w:rsidRPr="00FA7FE1">
        <w:rPr>
          <w:rFonts w:cs="Tahoma"/>
          <w:bCs/>
          <w:lang w:val="en-GB"/>
        </w:rPr>
        <w:t>s”</w:t>
      </w:r>
      <w:r w:rsidR="00EB02DD" w:rsidRPr="00FA7FE1">
        <w:rPr>
          <w:rFonts w:cs="Tahoma"/>
          <w:bCs/>
          <w:lang w:val="en-GB"/>
        </w:rPr>
        <w:t xml:space="preserve"> </w:t>
      </w:r>
      <w:r w:rsidR="002D6DAE" w:rsidRPr="00FA7FE1">
        <w:rPr>
          <w:rFonts w:cs="Tahoma"/>
          <w:bCs/>
          <w:lang w:val="en-GB"/>
        </w:rPr>
        <w:t>could not cross</w:t>
      </w:r>
      <w:r w:rsidR="00EB02DD" w:rsidRPr="00FA7FE1">
        <w:rPr>
          <w:rFonts w:cs="Tahoma"/>
          <w:bCs/>
          <w:lang w:val="en-GB"/>
        </w:rPr>
        <w:t xml:space="preserve">. </w:t>
      </w:r>
      <w:r w:rsidR="002D6DAE" w:rsidRPr="00FA7FE1">
        <w:rPr>
          <w:rFonts w:cs="Tahoma"/>
          <w:bCs/>
          <w:lang w:val="en-GB"/>
        </w:rPr>
        <w:t>As such, the inability to collect pensions further weakens the socio-economic conditions</w:t>
      </w:r>
      <w:r w:rsidR="002D6DAE" w:rsidRPr="00FA7FE1" w:rsidDel="002D6DAE">
        <w:rPr>
          <w:rFonts w:cs="Tahoma"/>
          <w:bCs/>
          <w:lang w:val="en-GB"/>
        </w:rPr>
        <w:t xml:space="preserve"> </w:t>
      </w:r>
      <w:r w:rsidR="002D6DAE" w:rsidRPr="00FA7FE1">
        <w:rPr>
          <w:rFonts w:cs="Tahoma"/>
          <w:bCs/>
          <w:lang w:val="en-GB"/>
        </w:rPr>
        <w:t>of the affected local residents</w:t>
      </w:r>
      <w:r w:rsidR="0065272F" w:rsidRPr="00FA7FE1">
        <w:rPr>
          <w:rFonts w:cs="Tahoma"/>
          <w:bCs/>
          <w:lang w:val="en-GB"/>
        </w:rPr>
        <w:t xml:space="preserve">. </w:t>
      </w:r>
    </w:p>
    <w:p w14:paraId="75EEBDE5" w14:textId="37D1AA4B" w:rsidR="00CF29A3" w:rsidRPr="00FA7FE1" w:rsidRDefault="00CF29A3" w:rsidP="00455DA3">
      <w:pPr>
        <w:pStyle w:val="ListParagraph"/>
        <w:ind w:left="0"/>
        <w:jc w:val="both"/>
        <w:rPr>
          <w:rFonts w:cs="Tahoma"/>
          <w:bCs/>
          <w:lang w:val="en-GB"/>
        </w:rPr>
      </w:pPr>
    </w:p>
    <w:p w14:paraId="017EC41C" w14:textId="77209D8C" w:rsidR="00171405" w:rsidRPr="00FA7FE1" w:rsidRDefault="00171405" w:rsidP="00455DA3">
      <w:pPr>
        <w:pStyle w:val="ListParagraph"/>
        <w:ind w:left="0"/>
        <w:jc w:val="both"/>
        <w:rPr>
          <w:rFonts w:cs="Tahoma"/>
          <w:bCs/>
          <w:i/>
          <w:iCs/>
          <w:lang w:val="en-GB"/>
        </w:rPr>
      </w:pPr>
      <w:r w:rsidRPr="00FA7FE1">
        <w:rPr>
          <w:rFonts w:cs="Tahoma"/>
          <w:bCs/>
          <w:i/>
          <w:iCs/>
          <w:lang w:val="en-GB"/>
        </w:rPr>
        <w:t>III.2.iv Access to education</w:t>
      </w:r>
      <w:r w:rsidR="00AD1D15" w:rsidRPr="00FA7FE1">
        <w:rPr>
          <w:rFonts w:cs="Tahoma"/>
          <w:i/>
          <w:lang w:val="en-GB"/>
        </w:rPr>
        <w:t>, including teaching of/in the native language</w:t>
      </w:r>
    </w:p>
    <w:p w14:paraId="7C0DA2A3" w14:textId="77777777" w:rsidR="0065272F" w:rsidRPr="00FA7FE1" w:rsidRDefault="0065272F" w:rsidP="00455DA3">
      <w:pPr>
        <w:pStyle w:val="ListParagraph"/>
        <w:ind w:left="0"/>
        <w:jc w:val="both"/>
        <w:rPr>
          <w:rFonts w:cs="Tahoma"/>
          <w:bCs/>
          <w:i/>
          <w:iCs/>
          <w:lang w:val="en-GB"/>
        </w:rPr>
      </w:pPr>
    </w:p>
    <w:p w14:paraId="5E4DC670" w14:textId="3948F946" w:rsidR="00CF29A3" w:rsidRPr="00FA7FE1" w:rsidRDefault="00171405">
      <w:pPr>
        <w:pStyle w:val="ListParagraph"/>
        <w:numPr>
          <w:ilvl w:val="0"/>
          <w:numId w:val="5"/>
        </w:numPr>
        <w:tabs>
          <w:tab w:val="clear" w:pos="360"/>
          <w:tab w:val="num" w:pos="0"/>
        </w:tabs>
        <w:ind w:left="0" w:firstLine="0"/>
        <w:jc w:val="both"/>
        <w:rPr>
          <w:rFonts w:cs="Tahoma"/>
          <w:bCs/>
          <w:lang w:val="en-GB"/>
        </w:rPr>
      </w:pPr>
      <w:r w:rsidRPr="00FA7FE1">
        <w:rPr>
          <w:rFonts w:cs="Tahoma"/>
          <w:bCs/>
          <w:lang w:val="en-GB"/>
        </w:rPr>
        <w:t>To r</w:t>
      </w:r>
      <w:r w:rsidR="007733CD" w:rsidRPr="00FA7FE1">
        <w:rPr>
          <w:rFonts w:cs="Tahoma"/>
          <w:bCs/>
          <w:lang w:val="en-GB"/>
        </w:rPr>
        <w:t>ecall, t</w:t>
      </w:r>
      <w:r w:rsidR="00CF29A3" w:rsidRPr="00FA7FE1">
        <w:rPr>
          <w:rFonts w:cs="Tahoma"/>
          <w:bCs/>
          <w:lang w:val="en-GB"/>
        </w:rPr>
        <w:t>he</w:t>
      </w:r>
      <w:r w:rsidR="002B0232" w:rsidRPr="00FA7FE1">
        <w:rPr>
          <w:rFonts w:cs="Tahoma"/>
          <w:bCs/>
          <w:lang w:val="en-GB"/>
        </w:rPr>
        <w:t xml:space="preserve"> last</w:t>
      </w:r>
      <w:r w:rsidR="00CF29A3" w:rsidRPr="00FA7FE1">
        <w:rPr>
          <w:rFonts w:cs="Tahoma"/>
          <w:bCs/>
          <w:lang w:val="en-GB"/>
        </w:rPr>
        <w:t xml:space="preserve"> six remaining Georgian schools (out of </w:t>
      </w:r>
      <w:r w:rsidR="00DF6FBC" w:rsidRPr="00FA7FE1">
        <w:rPr>
          <w:rFonts w:cs="Tahoma"/>
          <w:bCs/>
          <w:lang w:val="en-GB"/>
        </w:rPr>
        <w:t>ten</w:t>
      </w:r>
      <w:r w:rsidR="00CF29A3" w:rsidRPr="00FA7FE1">
        <w:rPr>
          <w:rFonts w:cs="Tahoma"/>
          <w:bCs/>
          <w:lang w:val="en-GB"/>
        </w:rPr>
        <w:t xml:space="preserve">) in the Akhalgori </w:t>
      </w:r>
      <w:r w:rsidR="009732EB" w:rsidRPr="00FA7FE1">
        <w:rPr>
          <w:rFonts w:cs="Tahoma"/>
          <w:bCs/>
          <w:lang w:val="en-GB"/>
        </w:rPr>
        <w:t xml:space="preserve">district </w:t>
      </w:r>
      <w:r w:rsidR="009D5C14" w:rsidRPr="00FA7FE1">
        <w:rPr>
          <w:rFonts w:cs="Tahoma"/>
          <w:bCs/>
          <w:lang w:val="en-GB"/>
        </w:rPr>
        <w:t xml:space="preserve">have now </w:t>
      </w:r>
      <w:r w:rsidR="00C20CD3" w:rsidRPr="00FA7FE1">
        <w:rPr>
          <w:rFonts w:cs="Tahoma"/>
          <w:bCs/>
          <w:lang w:val="en-GB"/>
        </w:rPr>
        <w:t xml:space="preserve">been obliged to switch </w:t>
      </w:r>
      <w:r w:rsidR="00CF29A3" w:rsidRPr="00FA7FE1">
        <w:rPr>
          <w:rFonts w:cs="Tahoma"/>
          <w:bCs/>
          <w:lang w:val="en-GB"/>
        </w:rPr>
        <w:t>to</w:t>
      </w:r>
      <w:r w:rsidR="009D5C14" w:rsidRPr="00FA7FE1">
        <w:rPr>
          <w:rFonts w:cs="Tahoma"/>
          <w:bCs/>
          <w:lang w:val="en-GB"/>
        </w:rPr>
        <w:t xml:space="preserve"> the</w:t>
      </w:r>
      <w:r w:rsidR="00CF29A3" w:rsidRPr="00FA7FE1">
        <w:rPr>
          <w:rFonts w:cs="Tahoma"/>
          <w:bCs/>
          <w:lang w:val="en-GB"/>
        </w:rPr>
        <w:t xml:space="preserve"> South Ossetian curricula standards and </w:t>
      </w:r>
      <w:r w:rsidR="00C20CD3" w:rsidRPr="00FA7FE1">
        <w:rPr>
          <w:rFonts w:cs="Tahoma"/>
          <w:bCs/>
          <w:lang w:val="en-GB"/>
        </w:rPr>
        <w:t xml:space="preserve">to </w:t>
      </w:r>
      <w:r w:rsidR="00CF29A3" w:rsidRPr="00FA7FE1">
        <w:rPr>
          <w:rFonts w:cs="Tahoma"/>
          <w:bCs/>
          <w:lang w:val="en-GB"/>
        </w:rPr>
        <w:t>adopt Russian as the language of instruction in grades 1-4.</w:t>
      </w:r>
      <w:r w:rsidR="00C20CD3" w:rsidRPr="00FA7FE1">
        <w:rPr>
          <w:rStyle w:val="FootnoteReference"/>
          <w:rFonts w:cs="Tahoma"/>
          <w:bCs/>
          <w:lang w:val="en-GB"/>
        </w:rPr>
        <w:footnoteReference w:id="17"/>
      </w:r>
      <w:r w:rsidR="00CF29A3" w:rsidRPr="00FA7FE1">
        <w:rPr>
          <w:rFonts w:cs="Tahoma"/>
          <w:bCs/>
          <w:lang w:val="en-GB"/>
        </w:rPr>
        <w:t xml:space="preserve"> </w:t>
      </w:r>
      <w:r w:rsidR="007733CD" w:rsidRPr="00FA7FE1">
        <w:rPr>
          <w:rFonts w:cs="Tahoma"/>
          <w:bCs/>
          <w:lang w:val="en-GB"/>
        </w:rPr>
        <w:t>T</w:t>
      </w:r>
      <w:r w:rsidR="00CF29A3" w:rsidRPr="00FA7FE1">
        <w:rPr>
          <w:rFonts w:cs="Tahoma"/>
          <w:bCs/>
          <w:lang w:val="en-GB"/>
        </w:rPr>
        <w:t xml:space="preserve">he Georgian authorities </w:t>
      </w:r>
      <w:r w:rsidR="00C20CD3" w:rsidRPr="00FA7FE1">
        <w:rPr>
          <w:rFonts w:cs="Tahoma"/>
          <w:bCs/>
          <w:lang w:val="en-GB"/>
        </w:rPr>
        <w:t xml:space="preserve">had </w:t>
      </w:r>
      <w:r w:rsidR="00CF29A3" w:rsidRPr="00FA7FE1">
        <w:rPr>
          <w:rFonts w:cs="Tahoma"/>
          <w:bCs/>
          <w:lang w:val="en-GB"/>
        </w:rPr>
        <w:t>expressed strong concerns about the</w:t>
      </w:r>
      <w:r w:rsidR="00C20CD3" w:rsidRPr="00FA7FE1">
        <w:rPr>
          <w:rFonts w:cs="Tahoma"/>
          <w:bCs/>
          <w:lang w:val="en-GB"/>
        </w:rPr>
        <w:t xml:space="preserve">se </w:t>
      </w:r>
      <w:r w:rsidR="00CF29A3" w:rsidRPr="00FA7FE1">
        <w:rPr>
          <w:rFonts w:cs="Tahoma"/>
          <w:bCs/>
          <w:lang w:val="en-GB"/>
        </w:rPr>
        <w:t xml:space="preserve">changes. </w:t>
      </w:r>
      <w:r w:rsidR="007733CD" w:rsidRPr="00FA7FE1">
        <w:rPr>
          <w:rFonts w:cs="Tahoma"/>
          <w:bCs/>
          <w:lang w:val="en-GB"/>
        </w:rPr>
        <w:t xml:space="preserve">In February, the </w:t>
      </w:r>
      <w:r w:rsidR="006E0E52" w:rsidRPr="00FA7FE1">
        <w:rPr>
          <w:rFonts w:cs="Tahoma"/>
          <w:bCs/>
          <w:lang w:val="en-GB"/>
        </w:rPr>
        <w:t>SMR</w:t>
      </w:r>
      <w:r w:rsidR="007733CD" w:rsidRPr="00FA7FE1">
        <w:rPr>
          <w:rFonts w:cs="Tahoma"/>
          <w:bCs/>
          <w:lang w:val="en-GB"/>
        </w:rPr>
        <w:t xml:space="preserve"> condemned the dismissal of two ethnic Georgian principals by </w:t>
      </w:r>
      <w:r w:rsidR="00DF6FBC" w:rsidRPr="00FA7FE1">
        <w:rPr>
          <w:rFonts w:cs="Tahoma"/>
          <w:bCs/>
          <w:lang w:val="en-GB"/>
        </w:rPr>
        <w:t xml:space="preserve">the </w:t>
      </w:r>
      <w:r w:rsidR="007733CD" w:rsidRPr="00FA7FE1">
        <w:rPr>
          <w:rFonts w:cs="Tahoma"/>
          <w:bCs/>
          <w:i/>
          <w:iCs/>
          <w:lang w:val="en-GB"/>
        </w:rPr>
        <w:t>de facto</w:t>
      </w:r>
      <w:r w:rsidR="007733CD" w:rsidRPr="00FA7FE1">
        <w:rPr>
          <w:rFonts w:cs="Tahoma"/>
          <w:bCs/>
          <w:lang w:val="en-GB"/>
        </w:rPr>
        <w:t xml:space="preserve"> authorities in South Ossetia. </w:t>
      </w:r>
    </w:p>
    <w:p w14:paraId="38954350" w14:textId="77777777" w:rsidR="004B2B3A" w:rsidRPr="00FA7FE1" w:rsidRDefault="004B2B3A" w:rsidP="002A3CE8">
      <w:pPr>
        <w:rPr>
          <w:lang w:val="en-GB"/>
        </w:rPr>
      </w:pPr>
    </w:p>
    <w:p w14:paraId="2CF2AE5C" w14:textId="2C501C9B" w:rsidR="00467916" w:rsidRPr="00FA7FE1" w:rsidRDefault="00467916" w:rsidP="004B51A2">
      <w:pPr>
        <w:keepNext/>
        <w:keepLines/>
        <w:jc w:val="both"/>
        <w:rPr>
          <w:rFonts w:cs="Tahoma"/>
          <w:i/>
          <w:lang w:val="en-GB"/>
        </w:rPr>
      </w:pPr>
      <w:r w:rsidRPr="00FA7FE1">
        <w:rPr>
          <w:rFonts w:cs="Tahoma"/>
          <w:i/>
          <w:lang w:val="en-GB"/>
        </w:rPr>
        <w:t>III.3</w:t>
      </w:r>
      <w:r w:rsidRPr="00FA7FE1">
        <w:rPr>
          <w:rFonts w:cs="Tahoma"/>
          <w:i/>
          <w:lang w:val="en-GB"/>
        </w:rPr>
        <w:tab/>
        <w:t xml:space="preserve">The situation of </w:t>
      </w:r>
      <w:r w:rsidR="00DF6FBC" w:rsidRPr="00FA7FE1">
        <w:rPr>
          <w:rFonts w:cs="Tahoma"/>
          <w:i/>
          <w:lang w:val="en-GB"/>
        </w:rPr>
        <w:t>i</w:t>
      </w:r>
      <w:r w:rsidRPr="00FA7FE1">
        <w:rPr>
          <w:rFonts w:cs="Tahoma"/>
          <w:i/>
          <w:lang w:val="en-GB"/>
        </w:rPr>
        <w:t xml:space="preserve">nternally </w:t>
      </w:r>
      <w:r w:rsidR="00DF6FBC" w:rsidRPr="00FA7FE1">
        <w:rPr>
          <w:rFonts w:cs="Tahoma"/>
          <w:i/>
          <w:lang w:val="en-GB"/>
        </w:rPr>
        <w:t>d</w:t>
      </w:r>
      <w:r w:rsidRPr="00FA7FE1">
        <w:rPr>
          <w:rFonts w:cs="Tahoma"/>
          <w:i/>
          <w:lang w:val="en-GB"/>
        </w:rPr>
        <w:t xml:space="preserve">isplaced </w:t>
      </w:r>
      <w:r w:rsidR="00DF6FBC" w:rsidRPr="00FA7FE1">
        <w:rPr>
          <w:rFonts w:cs="Tahoma"/>
          <w:i/>
          <w:lang w:val="en-GB"/>
        </w:rPr>
        <w:t>p</w:t>
      </w:r>
      <w:r w:rsidRPr="00FA7FE1">
        <w:rPr>
          <w:rFonts w:cs="Tahoma"/>
          <w:i/>
          <w:lang w:val="en-GB"/>
        </w:rPr>
        <w:t>ersons</w:t>
      </w:r>
    </w:p>
    <w:p w14:paraId="7517C7E0" w14:textId="77777777" w:rsidR="00467916" w:rsidRPr="00FA7FE1" w:rsidRDefault="00467916" w:rsidP="004B51A2">
      <w:pPr>
        <w:keepNext/>
        <w:keepLines/>
        <w:jc w:val="both"/>
        <w:rPr>
          <w:rFonts w:cs="Tahoma"/>
          <w:lang w:val="en-GB"/>
        </w:rPr>
      </w:pPr>
    </w:p>
    <w:p w14:paraId="22CF8611" w14:textId="2E1935FE" w:rsidR="00941A1D" w:rsidRPr="00FA7FE1" w:rsidRDefault="00E06019" w:rsidP="00976CDB">
      <w:pPr>
        <w:pStyle w:val="ListParagraph"/>
        <w:numPr>
          <w:ilvl w:val="0"/>
          <w:numId w:val="5"/>
        </w:numPr>
        <w:tabs>
          <w:tab w:val="clear" w:pos="360"/>
          <w:tab w:val="num" w:pos="0"/>
        </w:tabs>
        <w:ind w:left="0" w:firstLine="0"/>
        <w:jc w:val="both"/>
        <w:rPr>
          <w:rFonts w:eastAsia="Times New Roman" w:cs="Tahoma"/>
          <w:spacing w:val="2"/>
          <w:lang w:val="en-GB"/>
        </w:rPr>
      </w:pPr>
      <w:r w:rsidRPr="00FA7FE1">
        <w:rPr>
          <w:rFonts w:eastAsia="Times New Roman" w:cs="Tahoma"/>
          <w:spacing w:val="2"/>
          <w:lang w:val="en-GB"/>
        </w:rPr>
        <w:t xml:space="preserve">During </w:t>
      </w:r>
      <w:r w:rsidR="00BC46DF" w:rsidRPr="00FA7FE1">
        <w:rPr>
          <w:rFonts w:eastAsia="Times New Roman" w:cs="Tahoma"/>
          <w:spacing w:val="2"/>
          <w:lang w:val="en-GB"/>
        </w:rPr>
        <w:t>the period under review, no progress could be reported as regards the voluntary, safe, dignified and unhindered return of internally displaced persons (IDPs) and refugees on the basis of internationally recognised principles.</w:t>
      </w:r>
      <w:r w:rsidR="00B81C0E" w:rsidRPr="00FA7FE1">
        <w:rPr>
          <w:rStyle w:val="FootnoteReference"/>
          <w:rFonts w:eastAsia="Times New Roman" w:cs="Tahoma"/>
          <w:spacing w:val="2"/>
          <w:lang w:val="en-GB"/>
        </w:rPr>
        <w:footnoteReference w:id="18"/>
      </w:r>
    </w:p>
    <w:p w14:paraId="3DE04992" w14:textId="77777777" w:rsidR="00F75DAD" w:rsidRPr="00FA7FE1" w:rsidRDefault="00F75DAD">
      <w:pPr>
        <w:pStyle w:val="ListParagraph"/>
        <w:ind w:left="0"/>
        <w:jc w:val="both"/>
        <w:rPr>
          <w:rFonts w:eastAsia="Times New Roman" w:cs="Tahoma"/>
          <w:spacing w:val="2"/>
          <w:lang w:val="en-GB"/>
        </w:rPr>
      </w:pPr>
    </w:p>
    <w:p w14:paraId="17C9F892" w14:textId="5D0AE047" w:rsidR="0013506B" w:rsidRPr="00FA7FE1" w:rsidRDefault="00FD6949" w:rsidP="0013506B">
      <w:pPr>
        <w:pStyle w:val="ListParagraph"/>
        <w:numPr>
          <w:ilvl w:val="0"/>
          <w:numId w:val="5"/>
        </w:numPr>
        <w:tabs>
          <w:tab w:val="clear" w:pos="360"/>
          <w:tab w:val="num" w:pos="0"/>
        </w:tabs>
        <w:ind w:left="0" w:firstLine="0"/>
        <w:jc w:val="both"/>
        <w:rPr>
          <w:rFonts w:eastAsia="Times New Roman" w:cs="Tahoma"/>
          <w:spacing w:val="2"/>
          <w:lang w:val="en-GB"/>
        </w:rPr>
      </w:pPr>
      <w:r w:rsidRPr="00FA7FE1">
        <w:rPr>
          <w:rFonts w:eastAsia="Times New Roman" w:cs="Tahoma"/>
          <w:spacing w:val="2"/>
          <w:lang w:val="en-GB"/>
        </w:rPr>
        <w:lastRenderedPageBreak/>
        <w:t xml:space="preserve">In the absence of </w:t>
      </w:r>
      <w:r w:rsidR="00E35A6E" w:rsidRPr="00FA7FE1">
        <w:rPr>
          <w:rFonts w:eastAsia="Times New Roman" w:cs="Tahoma"/>
          <w:spacing w:val="2"/>
          <w:lang w:val="en-GB"/>
        </w:rPr>
        <w:t xml:space="preserve">conditions </w:t>
      </w:r>
      <w:r w:rsidRPr="00FA7FE1">
        <w:rPr>
          <w:rFonts w:eastAsia="Times New Roman" w:cs="Tahoma"/>
          <w:spacing w:val="2"/>
          <w:lang w:val="en-GB"/>
        </w:rPr>
        <w:t xml:space="preserve">conducive </w:t>
      </w:r>
      <w:r w:rsidR="00E35A6E" w:rsidRPr="00FA7FE1">
        <w:rPr>
          <w:rFonts w:eastAsia="Times New Roman" w:cs="Tahoma"/>
          <w:spacing w:val="2"/>
          <w:lang w:val="en-GB"/>
        </w:rPr>
        <w:t>to</w:t>
      </w:r>
      <w:r w:rsidRPr="00FA7FE1">
        <w:rPr>
          <w:rFonts w:eastAsia="Times New Roman" w:cs="Tahoma"/>
          <w:spacing w:val="2"/>
          <w:lang w:val="en-GB"/>
        </w:rPr>
        <w:t xml:space="preserve"> return, the </w:t>
      </w:r>
      <w:r w:rsidR="00F75DAD" w:rsidRPr="00FA7FE1">
        <w:rPr>
          <w:rFonts w:eastAsia="Times New Roman" w:cs="Tahoma"/>
          <w:spacing w:val="2"/>
          <w:lang w:val="en-GB"/>
        </w:rPr>
        <w:t xml:space="preserve">Georgian government continued to provide </w:t>
      </w:r>
      <w:r w:rsidR="00B25954" w:rsidRPr="00FA7FE1">
        <w:rPr>
          <w:rFonts w:eastAsia="Times New Roman" w:cs="Tahoma"/>
          <w:spacing w:val="2"/>
          <w:lang w:val="en-GB"/>
        </w:rPr>
        <w:t xml:space="preserve">IDPs with </w:t>
      </w:r>
      <w:r w:rsidR="00D62357" w:rsidRPr="00FA7FE1">
        <w:rPr>
          <w:rFonts w:eastAsia="Times New Roman" w:cs="Tahoma"/>
          <w:spacing w:val="2"/>
          <w:lang w:val="en-GB"/>
        </w:rPr>
        <w:t xml:space="preserve">alternative </w:t>
      </w:r>
      <w:r w:rsidR="00F75DAD" w:rsidRPr="00FA7FE1">
        <w:rPr>
          <w:rFonts w:eastAsia="Times New Roman" w:cs="Tahoma"/>
          <w:spacing w:val="2"/>
          <w:lang w:val="en-GB"/>
        </w:rPr>
        <w:t xml:space="preserve">durable </w:t>
      </w:r>
      <w:r w:rsidRPr="00FA7FE1">
        <w:rPr>
          <w:rFonts w:eastAsia="Times New Roman" w:cs="Tahoma"/>
          <w:spacing w:val="2"/>
          <w:lang w:val="en-GB"/>
        </w:rPr>
        <w:t>solutions</w:t>
      </w:r>
      <w:r w:rsidR="00B25954" w:rsidRPr="00FA7FE1">
        <w:rPr>
          <w:rFonts w:eastAsia="Times New Roman" w:cs="Tahoma"/>
          <w:spacing w:val="2"/>
          <w:lang w:val="en-GB"/>
        </w:rPr>
        <w:t xml:space="preserve"> in</w:t>
      </w:r>
      <w:r w:rsidR="00F75DAD" w:rsidRPr="00FA7FE1">
        <w:rPr>
          <w:rFonts w:eastAsia="Times New Roman" w:cs="Tahoma"/>
          <w:spacing w:val="2"/>
          <w:lang w:val="en-GB"/>
        </w:rPr>
        <w:t xml:space="preserve"> terms of housing and improvement of socio-economic conditions</w:t>
      </w:r>
      <w:r w:rsidR="00B25954" w:rsidRPr="00FA7FE1">
        <w:rPr>
          <w:rFonts w:eastAsia="Times New Roman" w:cs="Tahoma"/>
          <w:spacing w:val="2"/>
          <w:lang w:val="en-GB"/>
        </w:rPr>
        <w:t>,</w:t>
      </w:r>
      <w:r w:rsidR="00F75DAD" w:rsidRPr="00FA7FE1">
        <w:rPr>
          <w:rFonts w:eastAsia="Times New Roman" w:cs="Tahoma"/>
          <w:spacing w:val="2"/>
          <w:lang w:val="en-GB"/>
        </w:rPr>
        <w:t xml:space="preserve"> under </w:t>
      </w:r>
      <w:r w:rsidR="00365D5B" w:rsidRPr="00FA7FE1">
        <w:rPr>
          <w:rFonts w:eastAsia="Times New Roman" w:cs="Tahoma"/>
          <w:spacing w:val="2"/>
          <w:lang w:val="en-GB"/>
        </w:rPr>
        <w:t>its Action Plan 2019-2020 on the implementation the State Strategy on IDPs.</w:t>
      </w:r>
    </w:p>
    <w:p w14:paraId="57403DD7" w14:textId="77777777" w:rsidR="0013506B" w:rsidRPr="00FA7FE1" w:rsidRDefault="0013506B" w:rsidP="00CA7654">
      <w:pPr>
        <w:pStyle w:val="ListParagraph"/>
        <w:ind w:left="0"/>
        <w:jc w:val="both"/>
        <w:rPr>
          <w:rFonts w:eastAsia="Times New Roman" w:cs="Tahoma"/>
          <w:spacing w:val="2"/>
          <w:lang w:val="en-GB"/>
        </w:rPr>
      </w:pPr>
    </w:p>
    <w:p w14:paraId="78865CFA" w14:textId="7030A4B8" w:rsidR="00833DBD" w:rsidRPr="00FA7FE1" w:rsidRDefault="0013506B" w:rsidP="00CA7654">
      <w:pPr>
        <w:pStyle w:val="ListParagraph"/>
        <w:numPr>
          <w:ilvl w:val="0"/>
          <w:numId w:val="5"/>
        </w:numPr>
        <w:tabs>
          <w:tab w:val="clear" w:pos="360"/>
          <w:tab w:val="num" w:pos="0"/>
        </w:tabs>
        <w:ind w:left="0" w:firstLine="0"/>
        <w:jc w:val="both"/>
        <w:rPr>
          <w:rFonts w:eastAsia="Times New Roman" w:cs="Tahoma"/>
          <w:spacing w:val="2"/>
          <w:lang w:val="en-GB"/>
        </w:rPr>
      </w:pPr>
      <w:r w:rsidRPr="00FA7FE1">
        <w:rPr>
          <w:rFonts w:eastAsia="Times New Roman" w:cs="Tahoma"/>
          <w:spacing w:val="2"/>
          <w:lang w:val="en-GB"/>
        </w:rPr>
        <w:t xml:space="preserve">Representatives of the </w:t>
      </w:r>
      <w:r w:rsidR="00833DBD" w:rsidRPr="00FA7FE1">
        <w:rPr>
          <w:rFonts w:eastAsia="Times New Roman" w:cs="Tahoma"/>
          <w:spacing w:val="2"/>
          <w:lang w:val="en-GB"/>
        </w:rPr>
        <w:t>Minist</w:t>
      </w:r>
      <w:r w:rsidRPr="00FA7FE1">
        <w:rPr>
          <w:rFonts w:eastAsia="Times New Roman" w:cs="Tahoma"/>
          <w:spacing w:val="2"/>
          <w:lang w:val="en-GB"/>
        </w:rPr>
        <w:t>ry</w:t>
      </w:r>
      <w:r w:rsidR="00833DBD" w:rsidRPr="00FA7FE1">
        <w:rPr>
          <w:rFonts w:eastAsia="Times New Roman" w:cs="Tahoma"/>
          <w:spacing w:val="2"/>
          <w:lang w:val="en-GB"/>
        </w:rPr>
        <w:t xml:space="preserve"> of Internally Displaced Persons from the Occupied Territories, Labo</w:t>
      </w:r>
      <w:r w:rsidR="006205BE" w:rsidRPr="00FA7FE1">
        <w:rPr>
          <w:rFonts w:eastAsia="Times New Roman" w:cs="Tahoma"/>
          <w:spacing w:val="2"/>
          <w:lang w:val="en-GB"/>
        </w:rPr>
        <w:t>u</w:t>
      </w:r>
      <w:r w:rsidR="00833DBD" w:rsidRPr="00FA7FE1">
        <w:rPr>
          <w:rFonts w:eastAsia="Times New Roman" w:cs="Tahoma"/>
          <w:spacing w:val="2"/>
          <w:lang w:val="en-GB"/>
        </w:rPr>
        <w:t>r, Health and Social Affairs of Georgia</w:t>
      </w:r>
      <w:r w:rsidRPr="00FA7FE1">
        <w:rPr>
          <w:rFonts w:eastAsia="Times New Roman" w:cs="Tahoma"/>
          <w:spacing w:val="2"/>
          <w:lang w:val="en-GB"/>
        </w:rPr>
        <w:t xml:space="preserve"> informed the delegation of </w:t>
      </w:r>
      <w:r w:rsidR="00DF6FBC" w:rsidRPr="00FA7FE1">
        <w:rPr>
          <w:rFonts w:eastAsia="Times New Roman" w:cs="Tahoma"/>
          <w:spacing w:val="2"/>
          <w:lang w:val="en-GB"/>
        </w:rPr>
        <w:t xml:space="preserve">the </w:t>
      </w:r>
      <w:r w:rsidRPr="00FA7FE1">
        <w:rPr>
          <w:rFonts w:eastAsia="Times New Roman" w:cs="Tahoma"/>
          <w:spacing w:val="2"/>
          <w:lang w:val="en-GB"/>
        </w:rPr>
        <w:t xml:space="preserve">creation of </w:t>
      </w:r>
      <w:r w:rsidR="00833DBD" w:rsidRPr="00FA7FE1">
        <w:rPr>
          <w:rFonts w:eastAsia="Times New Roman" w:cs="Tahoma"/>
          <w:spacing w:val="2"/>
          <w:lang w:val="en-GB"/>
        </w:rPr>
        <w:t xml:space="preserve">the </w:t>
      </w:r>
      <w:r w:rsidRPr="00FA7FE1">
        <w:rPr>
          <w:rFonts w:eastAsia="Times New Roman" w:cs="Tahoma"/>
          <w:spacing w:val="2"/>
          <w:lang w:val="en-GB"/>
        </w:rPr>
        <w:t>“Internally Displaced Persons</w:t>
      </w:r>
      <w:r w:rsidR="00833DBD" w:rsidRPr="00FA7FE1">
        <w:rPr>
          <w:rFonts w:eastAsia="Times New Roman" w:cs="Tahoma"/>
          <w:spacing w:val="2"/>
          <w:lang w:val="en-GB"/>
        </w:rPr>
        <w:t xml:space="preserve">, </w:t>
      </w:r>
      <w:r w:rsidRPr="00FA7FE1">
        <w:rPr>
          <w:rFonts w:eastAsia="Times New Roman" w:cs="Tahoma"/>
          <w:spacing w:val="2"/>
          <w:lang w:val="en-GB"/>
        </w:rPr>
        <w:t>E</w:t>
      </w:r>
      <w:r w:rsidR="00833DBD" w:rsidRPr="00FA7FE1">
        <w:rPr>
          <w:rFonts w:eastAsia="Times New Roman" w:cs="Tahoma"/>
          <w:spacing w:val="2"/>
          <w:lang w:val="en-GB"/>
        </w:rPr>
        <w:t xml:space="preserve">comigrants and </w:t>
      </w:r>
      <w:r w:rsidRPr="00FA7FE1">
        <w:rPr>
          <w:rFonts w:eastAsia="Times New Roman" w:cs="Tahoma"/>
          <w:spacing w:val="2"/>
          <w:lang w:val="en-GB"/>
        </w:rPr>
        <w:t>L</w:t>
      </w:r>
      <w:r w:rsidR="00833DBD" w:rsidRPr="00FA7FE1">
        <w:rPr>
          <w:rFonts w:eastAsia="Times New Roman" w:cs="Tahoma"/>
          <w:spacing w:val="2"/>
          <w:lang w:val="en-GB"/>
        </w:rPr>
        <w:t>ivelihood</w:t>
      </w:r>
      <w:r w:rsidRPr="00FA7FE1">
        <w:rPr>
          <w:rFonts w:eastAsia="Times New Roman" w:cs="Tahoma"/>
          <w:spacing w:val="2"/>
          <w:lang w:val="en-GB"/>
        </w:rPr>
        <w:t xml:space="preserve"> Agency” in December 2019. The new agency is responsible for the i</w:t>
      </w:r>
      <w:r w:rsidR="00833DBD" w:rsidRPr="00FA7FE1">
        <w:rPr>
          <w:rFonts w:eastAsia="Times New Roman" w:cs="Tahoma"/>
          <w:spacing w:val="2"/>
          <w:lang w:val="en-GB"/>
        </w:rPr>
        <w:t>mplementation of the state policy with regard to IDPs and eco-migrants, their resettlement and improvement of their socio-economic conditions.</w:t>
      </w:r>
      <w:r w:rsidRPr="00FA7FE1">
        <w:rPr>
          <w:rFonts w:eastAsia="Times New Roman" w:cs="Tahoma"/>
          <w:spacing w:val="2"/>
          <w:lang w:val="en-GB"/>
        </w:rPr>
        <w:t xml:space="preserve"> As explained, the</w:t>
      </w:r>
      <w:r w:rsidR="00833DBD" w:rsidRPr="00FA7FE1">
        <w:rPr>
          <w:rFonts w:eastAsia="Times New Roman" w:cs="Tahoma"/>
          <w:spacing w:val="2"/>
          <w:lang w:val="en-GB"/>
        </w:rPr>
        <w:t xml:space="preserve"> establishment of the </w:t>
      </w:r>
      <w:r w:rsidRPr="00FA7FE1">
        <w:rPr>
          <w:rFonts w:eastAsia="Times New Roman" w:cs="Tahoma"/>
          <w:spacing w:val="2"/>
          <w:lang w:val="en-GB"/>
        </w:rPr>
        <w:t>a</w:t>
      </w:r>
      <w:r w:rsidR="00833DBD" w:rsidRPr="00FA7FE1">
        <w:rPr>
          <w:rFonts w:eastAsia="Times New Roman" w:cs="Tahoma"/>
          <w:spacing w:val="2"/>
          <w:lang w:val="en-GB"/>
        </w:rPr>
        <w:t xml:space="preserve">gency is </w:t>
      </w:r>
      <w:r w:rsidRPr="00FA7FE1">
        <w:rPr>
          <w:rFonts w:eastAsia="Times New Roman" w:cs="Tahoma"/>
          <w:spacing w:val="2"/>
          <w:lang w:val="en-GB"/>
        </w:rPr>
        <w:t xml:space="preserve">a further demonstration of the priority given to the issue by the Georgian central government. </w:t>
      </w:r>
    </w:p>
    <w:p w14:paraId="2A449CEB" w14:textId="77777777" w:rsidR="00833DBD" w:rsidRPr="00FA7FE1" w:rsidRDefault="00833DBD" w:rsidP="00CA7654">
      <w:pPr>
        <w:pStyle w:val="ListParagraph"/>
        <w:rPr>
          <w:rFonts w:eastAsia="Times New Roman" w:cs="Tahoma"/>
          <w:spacing w:val="2"/>
          <w:lang w:val="en-GB"/>
        </w:rPr>
      </w:pPr>
    </w:p>
    <w:p w14:paraId="0DF7C00E" w14:textId="24EBACA9" w:rsidR="00922529" w:rsidRPr="00FA7FE1" w:rsidRDefault="00922529" w:rsidP="00CA7654">
      <w:pPr>
        <w:pStyle w:val="ListParagraph"/>
        <w:numPr>
          <w:ilvl w:val="0"/>
          <w:numId w:val="5"/>
        </w:numPr>
        <w:tabs>
          <w:tab w:val="clear" w:pos="360"/>
          <w:tab w:val="num" w:pos="0"/>
        </w:tabs>
        <w:ind w:left="0" w:firstLine="0"/>
        <w:jc w:val="both"/>
        <w:rPr>
          <w:rFonts w:eastAsia="Times New Roman" w:cs="Tahoma"/>
          <w:spacing w:val="2"/>
          <w:lang w:val="en-GB"/>
        </w:rPr>
      </w:pPr>
      <w:r w:rsidRPr="00FA7FE1">
        <w:rPr>
          <w:rFonts w:eastAsia="Times New Roman" w:cs="Tahoma"/>
          <w:spacing w:val="2"/>
          <w:lang w:val="en-GB"/>
        </w:rPr>
        <w:t xml:space="preserve">According to the information provided by the Ministry </w:t>
      </w:r>
      <w:r w:rsidR="006205BE" w:rsidRPr="00FA7FE1">
        <w:rPr>
          <w:rFonts w:eastAsia="Times New Roman" w:cs="Tahoma"/>
          <w:spacing w:val="2"/>
          <w:lang w:val="en-GB"/>
        </w:rPr>
        <w:t>and the Agency</w:t>
      </w:r>
      <w:r w:rsidRPr="00FA7FE1">
        <w:rPr>
          <w:rFonts w:eastAsia="Times New Roman" w:cs="Tahoma"/>
          <w:spacing w:val="2"/>
          <w:lang w:val="en-GB"/>
        </w:rPr>
        <w:t xml:space="preserve">, in 2019 a total of 2097 IDP families received housings and 803 families received ownership of their housing. 6513 IDPs have received a one-off financial assistance and 1548 IDP families received rent subsidy. </w:t>
      </w:r>
      <w:r w:rsidR="00DF6FBC" w:rsidRPr="00FA7FE1">
        <w:rPr>
          <w:rFonts w:eastAsia="Times New Roman" w:cs="Tahoma"/>
          <w:spacing w:val="2"/>
          <w:lang w:val="en-GB"/>
        </w:rPr>
        <w:t>Two hundred and twenty-four</w:t>
      </w:r>
      <w:r w:rsidRPr="00FA7FE1">
        <w:rPr>
          <w:rFonts w:eastAsia="Times New Roman" w:cs="Tahoma"/>
          <w:spacing w:val="2"/>
          <w:lang w:val="en-GB"/>
        </w:rPr>
        <w:t xml:space="preserve"> families benefited from various livelihood program</w:t>
      </w:r>
      <w:r w:rsidR="00DF6FBC" w:rsidRPr="00FA7FE1">
        <w:rPr>
          <w:rFonts w:eastAsia="Times New Roman" w:cs="Tahoma"/>
          <w:spacing w:val="2"/>
          <w:lang w:val="en-GB"/>
        </w:rPr>
        <w:t>me</w:t>
      </w:r>
      <w:r w:rsidRPr="00FA7FE1">
        <w:rPr>
          <w:rFonts w:eastAsia="Times New Roman" w:cs="Tahoma"/>
          <w:spacing w:val="2"/>
          <w:lang w:val="en-GB"/>
        </w:rPr>
        <w:t xml:space="preserve">s. </w:t>
      </w:r>
      <w:r w:rsidR="002D6DAE" w:rsidRPr="00FA7FE1">
        <w:rPr>
          <w:rFonts w:eastAsia="Times New Roman" w:cs="Tahoma"/>
          <w:spacing w:val="2"/>
          <w:lang w:val="en-GB"/>
        </w:rPr>
        <w:t>It is reported that, i</w:t>
      </w:r>
      <w:r w:rsidRPr="00FA7FE1">
        <w:rPr>
          <w:rFonts w:eastAsia="Times New Roman" w:cs="Tahoma"/>
          <w:spacing w:val="2"/>
          <w:lang w:val="en-GB"/>
        </w:rPr>
        <w:t xml:space="preserve">n 2020, </w:t>
      </w:r>
      <w:r w:rsidR="00972CC2" w:rsidRPr="00FA7FE1">
        <w:rPr>
          <w:rFonts w:eastAsia="Times New Roman" w:cs="Tahoma"/>
          <w:spacing w:val="2"/>
          <w:lang w:val="en-GB"/>
        </w:rPr>
        <w:t xml:space="preserve">more than 2500 IDP families should receive housing and ownership of housing should be granted to 1500 families. </w:t>
      </w:r>
    </w:p>
    <w:p w14:paraId="35965B82" w14:textId="797EA00F" w:rsidR="00365D5B" w:rsidRPr="00FA7FE1" w:rsidRDefault="00922529" w:rsidP="00CA7654">
      <w:pPr>
        <w:pStyle w:val="ListParagraph"/>
        <w:ind w:left="0"/>
        <w:jc w:val="both"/>
        <w:rPr>
          <w:rFonts w:eastAsia="Times New Roman" w:cs="Tahoma"/>
          <w:spacing w:val="2"/>
          <w:lang w:val="en-GB"/>
        </w:rPr>
      </w:pPr>
      <w:r w:rsidRPr="00FA7FE1">
        <w:rPr>
          <w:rFonts w:eastAsia="Times New Roman" w:cs="Tahoma"/>
          <w:spacing w:val="2"/>
          <w:lang w:val="en-GB"/>
        </w:rPr>
        <w:t xml:space="preserve"> </w:t>
      </w:r>
    </w:p>
    <w:p w14:paraId="100FAA89" w14:textId="72F38F1E" w:rsidR="00ED01BC" w:rsidRPr="00FA7FE1" w:rsidRDefault="00ED01BC" w:rsidP="00976CDB">
      <w:pPr>
        <w:jc w:val="both"/>
        <w:rPr>
          <w:rFonts w:cs="Tahoma"/>
          <w:i/>
          <w:lang w:val="en-GB"/>
        </w:rPr>
      </w:pPr>
      <w:r w:rsidRPr="00FA7FE1">
        <w:rPr>
          <w:rFonts w:cs="Tahoma"/>
          <w:i/>
          <w:lang w:val="en-GB"/>
        </w:rPr>
        <w:t>IV</w:t>
      </w:r>
      <w:r w:rsidRPr="00FA7FE1">
        <w:rPr>
          <w:rFonts w:cs="Tahoma"/>
          <w:i/>
          <w:lang w:val="en-GB"/>
        </w:rPr>
        <w:tab/>
        <w:t>Activities of Council of Europe organs and institutions and their follow-up</w:t>
      </w:r>
    </w:p>
    <w:p w14:paraId="440E1140" w14:textId="77777777" w:rsidR="00ED01BC" w:rsidRPr="00FA7FE1" w:rsidRDefault="00ED01BC" w:rsidP="00976CDB">
      <w:pPr>
        <w:jc w:val="both"/>
        <w:rPr>
          <w:rFonts w:cs="Tahoma"/>
          <w:i/>
          <w:lang w:val="en-GB"/>
        </w:rPr>
      </w:pPr>
    </w:p>
    <w:p w14:paraId="6AB8A907" w14:textId="77777777" w:rsidR="00ED01BC" w:rsidRPr="00FA7FE1" w:rsidRDefault="00ED01BC" w:rsidP="00976CDB">
      <w:pPr>
        <w:jc w:val="both"/>
        <w:rPr>
          <w:rFonts w:cs="Tahoma"/>
          <w:i/>
          <w:lang w:val="en-GB"/>
        </w:rPr>
      </w:pPr>
      <w:r w:rsidRPr="00FA7FE1">
        <w:rPr>
          <w:rFonts w:cs="Tahoma"/>
          <w:i/>
          <w:lang w:val="en-GB"/>
        </w:rPr>
        <w:t>IV.1</w:t>
      </w:r>
      <w:r w:rsidRPr="00FA7FE1">
        <w:rPr>
          <w:rFonts w:cs="Tahoma"/>
          <w:i/>
          <w:lang w:val="en-GB"/>
        </w:rPr>
        <w:tab/>
        <w:t xml:space="preserve">Parliamentary Assembly of the Council of Europe </w:t>
      </w:r>
    </w:p>
    <w:p w14:paraId="49395725" w14:textId="77777777" w:rsidR="00ED01BC" w:rsidRPr="00FA7FE1" w:rsidRDefault="00ED01BC" w:rsidP="00976CDB">
      <w:pPr>
        <w:rPr>
          <w:rFonts w:cs="Tahoma"/>
          <w:lang w:val="en-GB"/>
        </w:rPr>
      </w:pPr>
    </w:p>
    <w:p w14:paraId="19333A83" w14:textId="004B9A7A" w:rsidR="00484E32" w:rsidRPr="00FA7FE1" w:rsidRDefault="00484E32" w:rsidP="00484E32">
      <w:pPr>
        <w:pStyle w:val="ListParagraph"/>
        <w:numPr>
          <w:ilvl w:val="0"/>
          <w:numId w:val="5"/>
        </w:numPr>
        <w:tabs>
          <w:tab w:val="clear" w:pos="360"/>
          <w:tab w:val="num" w:pos="0"/>
        </w:tabs>
        <w:ind w:left="0" w:firstLine="0"/>
        <w:jc w:val="both"/>
        <w:rPr>
          <w:rFonts w:cs="Tahoma"/>
          <w:bCs/>
          <w:lang w:val="en-GB"/>
        </w:rPr>
      </w:pPr>
      <w:r w:rsidRPr="00FA7FE1">
        <w:rPr>
          <w:rFonts w:cs="Tahoma"/>
          <w:bCs/>
          <w:lang w:val="en-GB"/>
        </w:rPr>
        <w:t>In Resolution 2325 (2020) on the Progress of the Assembly’s monitoring procedure (January-December 2019), the Assembly expressed concern about “the continuing borderisation and creeping annexation of the Georgian regions of South Ossetia and Abkhazia by the Russian Federation</w:t>
      </w:r>
      <w:r w:rsidR="00A553B2" w:rsidRPr="00FA7FE1">
        <w:rPr>
          <w:rFonts w:cs="Tahoma"/>
          <w:bCs/>
          <w:lang w:val="en-GB"/>
        </w:rPr>
        <w:t>,</w:t>
      </w:r>
      <w:r w:rsidRPr="00FA7FE1">
        <w:rPr>
          <w:rFonts w:cs="Tahoma"/>
          <w:bCs/>
          <w:lang w:val="en-GB"/>
        </w:rPr>
        <w:t xml:space="preserve"> which are at odds with its obligations and accession commitments to the Council of Europe. The Assembly therefore asked the Russian Federation to reverse these processes</w:t>
      </w:r>
      <w:r w:rsidR="00DF6FBC" w:rsidRPr="00FA7FE1">
        <w:rPr>
          <w:rFonts w:cs="Tahoma"/>
          <w:bCs/>
          <w:lang w:val="en-GB"/>
        </w:rPr>
        <w:t>”</w:t>
      </w:r>
      <w:r w:rsidRPr="00FA7FE1">
        <w:rPr>
          <w:rFonts w:cs="Tahoma"/>
          <w:bCs/>
          <w:lang w:val="en-GB"/>
        </w:rPr>
        <w:t>.</w:t>
      </w:r>
      <w:r w:rsidRPr="00FA7FE1">
        <w:rPr>
          <w:rStyle w:val="FootnoteReference"/>
          <w:rFonts w:cs="Tahoma"/>
          <w:bCs/>
          <w:lang w:val="en-GB"/>
        </w:rPr>
        <w:footnoteReference w:id="19"/>
      </w:r>
      <w:r w:rsidRPr="00FA7FE1">
        <w:rPr>
          <w:rFonts w:cs="Tahoma"/>
          <w:bCs/>
          <w:lang w:val="en-GB"/>
        </w:rPr>
        <w:t xml:space="preserve"> </w:t>
      </w:r>
    </w:p>
    <w:p w14:paraId="2CA0C993" w14:textId="36FBDDFD" w:rsidR="00724300" w:rsidRPr="00FA7FE1" w:rsidRDefault="00724300" w:rsidP="00724300">
      <w:pPr>
        <w:pStyle w:val="ListParagraph"/>
        <w:ind w:left="0"/>
        <w:jc w:val="both"/>
        <w:rPr>
          <w:rFonts w:cs="Tahoma"/>
          <w:bCs/>
          <w:lang w:val="en-GB"/>
        </w:rPr>
      </w:pPr>
    </w:p>
    <w:p w14:paraId="4824758E" w14:textId="0334FDEE" w:rsidR="00724300" w:rsidRPr="00FA7FE1" w:rsidRDefault="00724300" w:rsidP="00724300">
      <w:pPr>
        <w:jc w:val="both"/>
        <w:rPr>
          <w:rFonts w:cs="Tahoma"/>
          <w:i/>
          <w:lang w:val="en-GB"/>
        </w:rPr>
      </w:pPr>
      <w:r w:rsidRPr="00FA7FE1">
        <w:rPr>
          <w:rFonts w:cs="Tahoma"/>
          <w:i/>
          <w:lang w:val="en-GB"/>
        </w:rPr>
        <w:t>IV.1</w:t>
      </w:r>
      <w:r w:rsidRPr="00FA7FE1">
        <w:rPr>
          <w:rFonts w:cs="Tahoma"/>
          <w:i/>
          <w:lang w:val="en-GB"/>
        </w:rPr>
        <w:tab/>
        <w:t xml:space="preserve">Congress of Local and Regional Authorities </w:t>
      </w:r>
      <w:r w:rsidR="00DF6FBC" w:rsidRPr="00FA7FE1">
        <w:rPr>
          <w:rFonts w:cs="Tahoma"/>
          <w:i/>
          <w:lang w:val="en-GB"/>
        </w:rPr>
        <w:t>of the Council of Europe</w:t>
      </w:r>
    </w:p>
    <w:p w14:paraId="778012F7" w14:textId="77777777" w:rsidR="00724300" w:rsidRPr="00FA7FE1" w:rsidRDefault="00724300" w:rsidP="00CA7654">
      <w:pPr>
        <w:pStyle w:val="ListParagraph"/>
        <w:ind w:left="0"/>
        <w:jc w:val="both"/>
        <w:rPr>
          <w:rFonts w:cs="Tahoma"/>
          <w:bCs/>
          <w:lang w:val="en-GB"/>
        </w:rPr>
      </w:pPr>
    </w:p>
    <w:p w14:paraId="7ADB9DB0" w14:textId="22FE5028" w:rsidR="00724300" w:rsidRPr="00FA7FE1" w:rsidRDefault="00724300" w:rsidP="003D5FEA">
      <w:pPr>
        <w:pStyle w:val="ListParagraph"/>
        <w:numPr>
          <w:ilvl w:val="0"/>
          <w:numId w:val="5"/>
        </w:numPr>
        <w:tabs>
          <w:tab w:val="clear" w:pos="360"/>
          <w:tab w:val="num" w:pos="0"/>
        </w:tabs>
        <w:ind w:left="0" w:firstLine="0"/>
        <w:jc w:val="both"/>
        <w:rPr>
          <w:rFonts w:cs="Tahoma"/>
          <w:bCs/>
          <w:i/>
          <w:iCs/>
          <w:lang w:val="en-GB"/>
        </w:rPr>
      </w:pPr>
      <w:r w:rsidRPr="00FA7FE1">
        <w:rPr>
          <w:sz w:val="23"/>
          <w:szCs w:val="23"/>
          <w:lang w:val="en-GB"/>
        </w:rPr>
        <w:t>On 29 October 2019</w:t>
      </w:r>
      <w:r w:rsidR="00DF6FBC" w:rsidRPr="00FA7FE1">
        <w:rPr>
          <w:sz w:val="23"/>
          <w:szCs w:val="23"/>
          <w:lang w:val="en-GB"/>
        </w:rPr>
        <w:t>,</w:t>
      </w:r>
      <w:r w:rsidRPr="00FA7FE1">
        <w:rPr>
          <w:sz w:val="23"/>
          <w:szCs w:val="23"/>
          <w:lang w:val="en-GB"/>
        </w:rPr>
        <w:t xml:space="preserve"> the Congress of Local and Regional Authorities of the Council of Europe adopted Recommendation 437 (2019) on “The role of local and regional governments in protecting internally displaced persons (IDPs)”. The related explanatory memorandum </w:t>
      </w:r>
      <w:r w:rsidR="00706883" w:rsidRPr="00FA7FE1">
        <w:rPr>
          <w:sz w:val="23"/>
          <w:szCs w:val="23"/>
          <w:lang w:val="en-GB"/>
        </w:rPr>
        <w:t>made specific references to the situation</w:t>
      </w:r>
      <w:r w:rsidRPr="00FA7FE1">
        <w:rPr>
          <w:sz w:val="23"/>
          <w:szCs w:val="23"/>
          <w:lang w:val="en-GB"/>
        </w:rPr>
        <w:t xml:space="preserve"> of Georgia</w:t>
      </w:r>
      <w:r w:rsidR="00706883" w:rsidRPr="00FA7FE1">
        <w:rPr>
          <w:sz w:val="23"/>
          <w:szCs w:val="23"/>
          <w:lang w:val="en-GB"/>
        </w:rPr>
        <w:t>.</w:t>
      </w:r>
      <w:r w:rsidR="00706883" w:rsidRPr="00FA7FE1">
        <w:rPr>
          <w:rStyle w:val="FootnoteReference"/>
          <w:sz w:val="23"/>
          <w:szCs w:val="23"/>
          <w:lang w:val="en-GB"/>
        </w:rPr>
        <w:footnoteReference w:id="20"/>
      </w:r>
    </w:p>
    <w:p w14:paraId="6B1D8239" w14:textId="77777777" w:rsidR="00706883" w:rsidRPr="00FA7FE1" w:rsidRDefault="00706883" w:rsidP="00CA7654">
      <w:pPr>
        <w:pStyle w:val="ListParagraph"/>
        <w:ind w:left="0"/>
        <w:jc w:val="both"/>
        <w:rPr>
          <w:rFonts w:cs="Tahoma"/>
          <w:bCs/>
          <w:i/>
          <w:iCs/>
          <w:lang w:val="en-GB"/>
        </w:rPr>
      </w:pPr>
    </w:p>
    <w:p w14:paraId="46C37459" w14:textId="77777777" w:rsidR="00ED01BC" w:rsidRPr="00FA7FE1" w:rsidRDefault="00740588" w:rsidP="004B51A2">
      <w:pPr>
        <w:keepNext/>
        <w:keepLines/>
        <w:tabs>
          <w:tab w:val="num" w:pos="0"/>
        </w:tabs>
        <w:jc w:val="both"/>
        <w:rPr>
          <w:rFonts w:cs="Tahoma"/>
          <w:i/>
          <w:lang w:val="en-GB"/>
        </w:rPr>
      </w:pPr>
      <w:r w:rsidRPr="00FA7FE1">
        <w:rPr>
          <w:rFonts w:cs="Tahoma"/>
          <w:i/>
          <w:lang w:val="en-GB"/>
        </w:rPr>
        <w:t>IV.2</w:t>
      </w:r>
      <w:r w:rsidR="00ED01BC" w:rsidRPr="00FA7FE1">
        <w:rPr>
          <w:rFonts w:cs="Tahoma"/>
          <w:i/>
          <w:lang w:val="en-GB"/>
        </w:rPr>
        <w:tab/>
        <w:t>Operational activities</w:t>
      </w:r>
    </w:p>
    <w:p w14:paraId="53535CA3" w14:textId="77777777" w:rsidR="002249AB" w:rsidRPr="00FA7FE1" w:rsidRDefault="002249AB" w:rsidP="004B51A2">
      <w:pPr>
        <w:keepNext/>
        <w:keepLines/>
        <w:jc w:val="both"/>
        <w:rPr>
          <w:rFonts w:cs="Tahoma"/>
          <w:i/>
          <w:lang w:val="en-GB"/>
        </w:rPr>
      </w:pPr>
    </w:p>
    <w:p w14:paraId="3E46985A" w14:textId="160FAC2C" w:rsidR="00EF7F72" w:rsidRPr="00FA7FE1" w:rsidRDefault="00DF6FBC" w:rsidP="00EF7F72">
      <w:pPr>
        <w:jc w:val="both"/>
        <w:rPr>
          <w:rFonts w:cs="Tahoma"/>
          <w:i/>
          <w:lang w:val="en-GB"/>
        </w:rPr>
      </w:pPr>
      <w:r w:rsidRPr="00FA7FE1">
        <w:rPr>
          <w:rFonts w:cs="Tahoma"/>
          <w:i/>
          <w:lang w:val="en-GB"/>
        </w:rPr>
        <w:t>IV.2.i</w:t>
      </w:r>
      <w:r w:rsidRPr="00FA7FE1">
        <w:rPr>
          <w:rFonts w:cs="Tahoma"/>
          <w:i/>
          <w:lang w:val="en-GB"/>
        </w:rPr>
        <w:tab/>
      </w:r>
      <w:r w:rsidR="00EF7F72" w:rsidRPr="00FA7FE1">
        <w:rPr>
          <w:rFonts w:cs="Tahoma"/>
          <w:i/>
          <w:lang w:val="en-GB"/>
        </w:rPr>
        <w:t>DG II/Women’s rights</w:t>
      </w:r>
    </w:p>
    <w:p w14:paraId="354F9547" w14:textId="77777777" w:rsidR="00EF7F72" w:rsidRPr="00FA7FE1" w:rsidRDefault="00EF7F72" w:rsidP="00EF7F72">
      <w:pPr>
        <w:autoSpaceDE w:val="0"/>
        <w:autoSpaceDN w:val="0"/>
        <w:adjustRightInd w:val="0"/>
        <w:jc w:val="both"/>
        <w:rPr>
          <w:rFonts w:cs="Tahoma"/>
          <w:lang w:val="en-GB"/>
        </w:rPr>
      </w:pPr>
    </w:p>
    <w:p w14:paraId="491EA3CD" w14:textId="7715F74F" w:rsidR="00EF7F72" w:rsidRPr="00FA7FE1" w:rsidRDefault="00EF7F72" w:rsidP="00EF7F72">
      <w:pPr>
        <w:numPr>
          <w:ilvl w:val="0"/>
          <w:numId w:val="5"/>
        </w:numPr>
        <w:tabs>
          <w:tab w:val="clear" w:pos="360"/>
          <w:tab w:val="num" w:pos="709"/>
        </w:tabs>
        <w:autoSpaceDE w:val="0"/>
        <w:autoSpaceDN w:val="0"/>
        <w:adjustRightInd w:val="0"/>
        <w:ind w:left="0" w:firstLine="0"/>
        <w:jc w:val="both"/>
        <w:rPr>
          <w:rFonts w:cs="Tahoma"/>
          <w:lang w:val="en-GB"/>
        </w:rPr>
      </w:pPr>
      <w:r w:rsidRPr="00FA7FE1">
        <w:rPr>
          <w:rFonts w:cs="Tahoma"/>
          <w:lang w:val="en-GB"/>
        </w:rPr>
        <w:t xml:space="preserve">Georgia continued to benefit from a regional project on preventing and combating violence against women, which also takes into account specific vulnerabilities of the conflict context and aims to increase the national capacity to implement the standards of the Council of Europe’s Istanbul Convention. It will strengthen the prosecution’s response to cases of violence against women and enhance the skills of legal professionals and other public officials when dealing with such cases. Georgia is also one of the EU Eastern </w:t>
      </w:r>
      <w:r w:rsidRPr="00FA7FE1">
        <w:rPr>
          <w:rFonts w:cs="Tahoma"/>
          <w:lang w:val="en-GB"/>
        </w:rPr>
        <w:lastRenderedPageBreak/>
        <w:t>Partnership countries involved in a regional project on improving access to justice for victims of violence against women.</w:t>
      </w:r>
    </w:p>
    <w:p w14:paraId="254045CA" w14:textId="2DC22522" w:rsidR="004821CF" w:rsidRPr="00FA7FE1" w:rsidRDefault="004821CF" w:rsidP="00976CDB">
      <w:pPr>
        <w:autoSpaceDE w:val="0"/>
        <w:autoSpaceDN w:val="0"/>
        <w:adjustRightInd w:val="0"/>
        <w:jc w:val="both"/>
        <w:rPr>
          <w:rFonts w:cs="Tahoma"/>
          <w:lang w:val="en-GB"/>
        </w:rPr>
      </w:pPr>
    </w:p>
    <w:p w14:paraId="27B965AE" w14:textId="6F71EDF1" w:rsidR="00ED01BC" w:rsidRPr="00FA7FE1" w:rsidRDefault="00ED01BC" w:rsidP="00976CDB">
      <w:pPr>
        <w:tabs>
          <w:tab w:val="num" w:pos="0"/>
        </w:tabs>
        <w:autoSpaceDE w:val="0"/>
        <w:autoSpaceDN w:val="0"/>
        <w:adjustRightInd w:val="0"/>
        <w:ind w:left="720" w:hanging="720"/>
        <w:jc w:val="both"/>
        <w:rPr>
          <w:rFonts w:cs="Tahoma"/>
          <w:i/>
          <w:lang w:val="en-GB"/>
        </w:rPr>
      </w:pPr>
      <w:r w:rsidRPr="00FA7FE1">
        <w:rPr>
          <w:rFonts w:cs="Tahoma"/>
          <w:i/>
          <w:lang w:val="en-GB"/>
        </w:rPr>
        <w:t>IV.</w:t>
      </w:r>
      <w:r w:rsidR="005327CB" w:rsidRPr="00FA7FE1">
        <w:rPr>
          <w:rFonts w:cs="Tahoma"/>
          <w:i/>
          <w:lang w:val="en-GB"/>
        </w:rPr>
        <w:t>3</w:t>
      </w:r>
      <w:r w:rsidRPr="00FA7FE1">
        <w:rPr>
          <w:rFonts w:cs="Tahoma"/>
          <w:i/>
          <w:lang w:val="en-GB"/>
        </w:rPr>
        <w:tab/>
        <w:t>Operational activities</w:t>
      </w:r>
      <w:r w:rsidRPr="00FA7FE1">
        <w:rPr>
          <w:rFonts w:cs="Tahoma"/>
          <w:i/>
          <w:iCs/>
          <w:lang w:val="en-GB"/>
        </w:rPr>
        <w:t xml:space="preserve"> on Confidence-Building Measures and their </w:t>
      </w:r>
      <w:r w:rsidR="00AE3F5C" w:rsidRPr="00FA7FE1">
        <w:rPr>
          <w:rFonts w:cs="Tahoma"/>
          <w:i/>
          <w:iCs/>
          <w:lang w:val="en-GB"/>
        </w:rPr>
        <w:br/>
      </w:r>
      <w:r w:rsidRPr="00FA7FE1">
        <w:rPr>
          <w:rFonts w:cs="Tahoma"/>
          <w:i/>
          <w:iCs/>
          <w:lang w:val="en-GB"/>
        </w:rPr>
        <w:t xml:space="preserve">follow-up </w:t>
      </w:r>
    </w:p>
    <w:p w14:paraId="0E7E8327" w14:textId="77777777" w:rsidR="00ED01BC" w:rsidRPr="00FA7FE1" w:rsidRDefault="00ED01BC" w:rsidP="00976CDB">
      <w:pPr>
        <w:jc w:val="both"/>
        <w:rPr>
          <w:rFonts w:cs="Tahoma"/>
          <w:lang w:val="en-GB"/>
        </w:rPr>
      </w:pPr>
    </w:p>
    <w:p w14:paraId="267A38D3" w14:textId="0052269A" w:rsidR="00ED01BC" w:rsidRPr="00FA7FE1" w:rsidRDefault="00ED01BC" w:rsidP="00976CDB">
      <w:pPr>
        <w:pStyle w:val="ListParagraph"/>
        <w:numPr>
          <w:ilvl w:val="0"/>
          <w:numId w:val="34"/>
        </w:numPr>
        <w:ind w:left="0" w:firstLine="0"/>
        <w:jc w:val="both"/>
        <w:rPr>
          <w:rFonts w:cs="Tahoma"/>
          <w:i/>
          <w:lang w:val="en-GB"/>
        </w:rPr>
      </w:pPr>
      <w:r w:rsidRPr="00FA7FE1">
        <w:rPr>
          <w:rFonts w:cs="Tahoma"/>
          <w:i/>
          <w:lang w:val="en-GB"/>
        </w:rPr>
        <w:t>Activities organised during the reporting period</w:t>
      </w:r>
    </w:p>
    <w:p w14:paraId="6A9F9352" w14:textId="77777777" w:rsidR="00EF7F72" w:rsidRPr="00FA7FE1" w:rsidRDefault="00EF7F72" w:rsidP="00CA7654">
      <w:pPr>
        <w:pStyle w:val="ListParagraph"/>
        <w:ind w:left="0"/>
        <w:jc w:val="both"/>
        <w:rPr>
          <w:rFonts w:cs="Tahoma"/>
          <w:i/>
          <w:lang w:val="en-GB"/>
        </w:rPr>
      </w:pPr>
    </w:p>
    <w:p w14:paraId="06E3A588" w14:textId="00C23C87" w:rsidR="00EF7F72" w:rsidRPr="00FA7FE1" w:rsidRDefault="00EF7F72" w:rsidP="00EF7F72">
      <w:pPr>
        <w:numPr>
          <w:ilvl w:val="0"/>
          <w:numId w:val="5"/>
        </w:numPr>
        <w:tabs>
          <w:tab w:val="clear" w:pos="360"/>
          <w:tab w:val="num" w:pos="709"/>
        </w:tabs>
        <w:autoSpaceDE w:val="0"/>
        <w:autoSpaceDN w:val="0"/>
        <w:adjustRightInd w:val="0"/>
        <w:ind w:left="0" w:firstLine="0"/>
        <w:jc w:val="both"/>
        <w:rPr>
          <w:rFonts w:cs="Tahoma"/>
          <w:lang w:val="en-GB"/>
        </w:rPr>
      </w:pPr>
      <w:r w:rsidRPr="00FA7FE1">
        <w:rPr>
          <w:rFonts w:cs="Tahoma"/>
          <w:lang w:val="en-GB"/>
        </w:rPr>
        <w:t xml:space="preserve">During the period under review, the Council of Europe continued the implementation of CBMs. CBM activities have continued to support the protection of human rights of people from conflict-affected communities, by </w:t>
      </w:r>
      <w:r w:rsidR="002D6DAE" w:rsidRPr="00FA7FE1">
        <w:rPr>
          <w:rFonts w:cs="Tahoma"/>
          <w:lang w:val="en-GB"/>
        </w:rPr>
        <w:t xml:space="preserve">considering </w:t>
      </w:r>
      <w:r w:rsidRPr="00FA7FE1">
        <w:rPr>
          <w:rFonts w:cs="Tahoma"/>
          <w:lang w:val="en-GB"/>
        </w:rPr>
        <w:t>possible solutions in several areas relying on the expert technical support provided by the Council of Europe and individual member States.</w:t>
      </w:r>
    </w:p>
    <w:p w14:paraId="51BA28F1" w14:textId="77777777" w:rsidR="00EF7F72" w:rsidRPr="00FA7FE1" w:rsidRDefault="00EF7F72" w:rsidP="00EF7F72">
      <w:pPr>
        <w:autoSpaceDE w:val="0"/>
        <w:autoSpaceDN w:val="0"/>
        <w:adjustRightInd w:val="0"/>
        <w:jc w:val="both"/>
        <w:rPr>
          <w:rFonts w:cs="Tahoma"/>
          <w:lang w:val="en-GB"/>
        </w:rPr>
      </w:pPr>
    </w:p>
    <w:p w14:paraId="6DC17592" w14:textId="7495AB73" w:rsidR="00EF7F72" w:rsidRPr="00FA7FE1" w:rsidRDefault="00EF7F72" w:rsidP="00EF7F72">
      <w:pPr>
        <w:numPr>
          <w:ilvl w:val="0"/>
          <w:numId w:val="5"/>
        </w:numPr>
        <w:tabs>
          <w:tab w:val="clear" w:pos="360"/>
          <w:tab w:val="num" w:pos="709"/>
        </w:tabs>
        <w:autoSpaceDE w:val="0"/>
        <w:autoSpaceDN w:val="0"/>
        <w:adjustRightInd w:val="0"/>
        <w:ind w:left="0" w:firstLine="0"/>
        <w:jc w:val="both"/>
        <w:rPr>
          <w:rFonts w:cs="Tahoma"/>
          <w:lang w:val="en-GB"/>
        </w:rPr>
      </w:pPr>
      <w:r w:rsidRPr="00FA7FE1">
        <w:rPr>
          <w:rFonts w:cs="Tahoma"/>
          <w:lang w:val="en-GB"/>
        </w:rPr>
        <w:t xml:space="preserve">CBM priorities are identified jointly with relevant actors and are closely coordinated with the </w:t>
      </w:r>
      <w:r w:rsidR="00FC4A5B" w:rsidRPr="00FA7FE1">
        <w:rPr>
          <w:rFonts w:cs="Tahoma"/>
          <w:lang w:val="en-GB"/>
        </w:rPr>
        <w:t>SMR</w:t>
      </w:r>
      <w:r w:rsidRPr="00FA7FE1">
        <w:rPr>
          <w:rFonts w:cs="Tahoma"/>
          <w:lang w:val="en-GB"/>
        </w:rPr>
        <w:t xml:space="preserve"> and the Liaison Mechanism established under the UNDP. It is recalled that CBMs also draw on the Secretary General’s annual reports on the state of democracy, human rights and the rule of law. </w:t>
      </w:r>
      <w:r w:rsidR="006205BE" w:rsidRPr="00FA7FE1">
        <w:rPr>
          <w:rFonts w:cs="Tahoma"/>
          <w:lang w:val="en-GB"/>
        </w:rPr>
        <w:t xml:space="preserve">The </w:t>
      </w:r>
      <w:r w:rsidRPr="00FA7FE1">
        <w:rPr>
          <w:rFonts w:cs="Tahoma"/>
          <w:lang w:val="en-GB"/>
        </w:rPr>
        <w:t xml:space="preserve">pragmatic approach has enabled dialogue and trust to be built between all actors concerned. </w:t>
      </w:r>
    </w:p>
    <w:p w14:paraId="73AA27CA" w14:textId="77777777" w:rsidR="00EF7F72" w:rsidRPr="00FA7FE1" w:rsidRDefault="00EF7F72" w:rsidP="00CA7654">
      <w:pPr>
        <w:pStyle w:val="ListParagraph"/>
        <w:rPr>
          <w:rFonts w:cs="Tahoma"/>
          <w:lang w:val="en-GB"/>
        </w:rPr>
      </w:pPr>
    </w:p>
    <w:p w14:paraId="61C566B1" w14:textId="77777777" w:rsidR="00EF7F72" w:rsidRPr="00FA7FE1" w:rsidRDefault="00EF7F72" w:rsidP="009E69A5">
      <w:pPr>
        <w:ind w:firstLine="720"/>
        <w:jc w:val="both"/>
        <w:rPr>
          <w:rFonts w:cs="Tahoma"/>
          <w:i/>
          <w:lang w:val="en-GB"/>
        </w:rPr>
      </w:pPr>
      <w:r w:rsidRPr="00FA7FE1">
        <w:rPr>
          <w:rFonts w:cs="Tahoma"/>
          <w:i/>
          <w:lang w:val="en-GB"/>
        </w:rPr>
        <w:t>CBMs with Abkhazia</w:t>
      </w:r>
    </w:p>
    <w:p w14:paraId="3686AE57" w14:textId="77777777" w:rsidR="00E87224" w:rsidRPr="00FA7FE1" w:rsidRDefault="00E87224" w:rsidP="009E69A5">
      <w:pPr>
        <w:autoSpaceDE w:val="0"/>
        <w:autoSpaceDN w:val="0"/>
        <w:adjustRightInd w:val="0"/>
        <w:jc w:val="both"/>
        <w:rPr>
          <w:rFonts w:cs="Tahoma"/>
          <w:lang w:val="en-GB"/>
        </w:rPr>
      </w:pPr>
    </w:p>
    <w:p w14:paraId="6A1BC1F9" w14:textId="1698285D" w:rsidR="00E87224" w:rsidRPr="00FA7FE1" w:rsidRDefault="00E87224" w:rsidP="00CA7654">
      <w:pPr>
        <w:numPr>
          <w:ilvl w:val="0"/>
          <w:numId w:val="5"/>
        </w:numPr>
        <w:tabs>
          <w:tab w:val="clear" w:pos="360"/>
          <w:tab w:val="num" w:pos="709"/>
        </w:tabs>
        <w:autoSpaceDE w:val="0"/>
        <w:autoSpaceDN w:val="0"/>
        <w:adjustRightInd w:val="0"/>
        <w:ind w:left="0" w:firstLine="0"/>
        <w:jc w:val="both"/>
        <w:rPr>
          <w:rFonts w:cs="Tahoma"/>
          <w:lang w:val="en-GB"/>
        </w:rPr>
      </w:pPr>
      <w:r w:rsidRPr="00FA7FE1">
        <w:rPr>
          <w:rFonts w:cs="Tahoma"/>
          <w:lang w:val="en-GB"/>
        </w:rPr>
        <w:t xml:space="preserve">Historians and archive specialists from Tbilisi and Sukhumi continued to work on a series of historical events on which little information has so far been published. The second publication on </w:t>
      </w:r>
      <w:r w:rsidRPr="00FA7FE1">
        <w:rPr>
          <w:rFonts w:cs="Tahoma"/>
          <w:i/>
          <w:lang w:val="en-GB"/>
        </w:rPr>
        <w:t>“Anti-Soviet uprisings of 1931 in the village of Duripsh in the Gudauta district”</w:t>
      </w:r>
      <w:r w:rsidRPr="00FA7FE1">
        <w:rPr>
          <w:rFonts w:cs="Tahoma"/>
          <w:lang w:val="en-GB"/>
        </w:rPr>
        <w:t xml:space="preserve">, based on </w:t>
      </w:r>
      <w:r w:rsidR="00DF6FBC" w:rsidRPr="00FA7FE1">
        <w:rPr>
          <w:rFonts w:cs="Tahoma"/>
          <w:lang w:val="en-GB"/>
        </w:rPr>
        <w:t xml:space="preserve">the </w:t>
      </w:r>
      <w:r w:rsidRPr="00FA7FE1">
        <w:rPr>
          <w:rFonts w:cs="Tahoma"/>
          <w:lang w:val="en-GB"/>
        </w:rPr>
        <w:t xml:space="preserve">archives of the Ministry of the Interior of Georgia, complemented by photos from private collections in Abkhazia and newspaper articles is </w:t>
      </w:r>
      <w:r w:rsidR="006205BE" w:rsidRPr="00FA7FE1">
        <w:rPr>
          <w:rFonts w:cs="Tahoma"/>
          <w:lang w:val="en-GB"/>
        </w:rPr>
        <w:t xml:space="preserve">being </w:t>
      </w:r>
      <w:r w:rsidRPr="00FA7FE1">
        <w:rPr>
          <w:rFonts w:cs="Tahoma"/>
          <w:lang w:val="en-GB"/>
        </w:rPr>
        <w:t xml:space="preserve">finalised. The third publication focusing on </w:t>
      </w:r>
      <w:r w:rsidRPr="00FA7FE1">
        <w:rPr>
          <w:rFonts w:cs="Tahoma"/>
          <w:i/>
          <w:iCs/>
          <w:lang w:val="en-GB"/>
        </w:rPr>
        <w:t>“Missing persons from Abkhazia during the Second World War”</w:t>
      </w:r>
      <w:r w:rsidR="002D6DAE" w:rsidRPr="00FA7FE1">
        <w:rPr>
          <w:rFonts w:cs="Tahoma"/>
          <w:i/>
          <w:iCs/>
          <w:lang w:val="en-GB"/>
        </w:rPr>
        <w:t xml:space="preserve"> </w:t>
      </w:r>
      <w:r w:rsidRPr="00FA7FE1">
        <w:rPr>
          <w:rFonts w:cs="Tahoma"/>
          <w:i/>
          <w:iCs/>
          <w:lang w:val="en-GB"/>
        </w:rPr>
        <w:t xml:space="preserve"> </w:t>
      </w:r>
      <w:r w:rsidRPr="00FA7FE1">
        <w:rPr>
          <w:rFonts w:cs="Tahoma"/>
          <w:lang w:val="en-GB"/>
        </w:rPr>
        <w:t>was finalised in a meeting that took place in Paris on 6-7 November 2019. A meeting in Venice on 23-24 January 2020 allowed the script of the documentary film on the Duripsh uprisings and the structure of a further publications on the criminal cases against the monks in Abkhazia in the 1921–1956 period</w:t>
      </w:r>
      <w:r w:rsidR="00DF6FBC" w:rsidRPr="00FA7FE1">
        <w:rPr>
          <w:rFonts w:cs="Tahoma"/>
          <w:lang w:val="en-GB"/>
        </w:rPr>
        <w:t xml:space="preserve"> to be finalised</w:t>
      </w:r>
      <w:r w:rsidRPr="00FA7FE1">
        <w:rPr>
          <w:rFonts w:cs="Tahoma"/>
          <w:lang w:val="en-GB"/>
        </w:rPr>
        <w:t xml:space="preserve">. The presentation of the two books published in 2019 </w:t>
      </w:r>
      <w:r w:rsidR="002D6DAE" w:rsidRPr="00FA7FE1">
        <w:rPr>
          <w:rFonts w:cs="Tahoma"/>
          <w:lang w:val="en-GB"/>
        </w:rPr>
        <w:t>is foreseen</w:t>
      </w:r>
      <w:r w:rsidRPr="00FA7FE1">
        <w:rPr>
          <w:rFonts w:cs="Tahoma"/>
          <w:lang w:val="en-GB"/>
        </w:rPr>
        <w:t xml:space="preserve"> in the spring 2020. </w:t>
      </w:r>
    </w:p>
    <w:p w14:paraId="1B072DBD" w14:textId="77777777" w:rsidR="00E87224" w:rsidRPr="00FA7FE1" w:rsidRDefault="00E87224" w:rsidP="00CA7654">
      <w:pPr>
        <w:autoSpaceDE w:val="0"/>
        <w:autoSpaceDN w:val="0"/>
        <w:adjustRightInd w:val="0"/>
        <w:jc w:val="both"/>
        <w:rPr>
          <w:rFonts w:cs="Tahoma"/>
          <w:lang w:val="en-GB"/>
        </w:rPr>
      </w:pPr>
    </w:p>
    <w:p w14:paraId="519271B7" w14:textId="5BBB80A9" w:rsidR="00E87224" w:rsidRPr="00FA7FE1" w:rsidRDefault="00E87224" w:rsidP="00CA7654">
      <w:pPr>
        <w:numPr>
          <w:ilvl w:val="0"/>
          <w:numId w:val="5"/>
        </w:numPr>
        <w:tabs>
          <w:tab w:val="clear" w:pos="360"/>
          <w:tab w:val="num" w:pos="709"/>
        </w:tabs>
        <w:autoSpaceDE w:val="0"/>
        <w:autoSpaceDN w:val="0"/>
        <w:adjustRightInd w:val="0"/>
        <w:ind w:left="0" w:firstLine="0"/>
        <w:jc w:val="both"/>
        <w:rPr>
          <w:rFonts w:cs="Tahoma"/>
          <w:lang w:val="en-GB"/>
        </w:rPr>
      </w:pPr>
      <w:r w:rsidRPr="00FA7FE1">
        <w:rPr>
          <w:lang w:val="en-GB"/>
        </w:rPr>
        <w:t>On the basis of a successful experience with the trainings of interpreters from/to</w:t>
      </w:r>
      <w:r w:rsidR="00DF6FBC" w:rsidRPr="00FA7FE1">
        <w:rPr>
          <w:lang w:val="en-GB"/>
        </w:rPr>
        <w:t xml:space="preserve"> the</w:t>
      </w:r>
      <w:r w:rsidRPr="00FA7FE1">
        <w:rPr>
          <w:lang w:val="en-GB"/>
        </w:rPr>
        <w:t xml:space="preserve"> Abkhaz language, a segment for the training of translators from/into </w:t>
      </w:r>
      <w:r w:rsidR="00DF6FBC" w:rsidRPr="00FA7FE1">
        <w:rPr>
          <w:lang w:val="en-GB"/>
        </w:rPr>
        <w:t xml:space="preserve">the </w:t>
      </w:r>
      <w:r w:rsidRPr="00FA7FE1">
        <w:rPr>
          <w:lang w:val="en-GB"/>
        </w:rPr>
        <w:t xml:space="preserve">Abkhaz language </w:t>
      </w:r>
      <w:r w:rsidR="006205BE" w:rsidRPr="00FA7FE1">
        <w:rPr>
          <w:lang w:val="en-GB"/>
        </w:rPr>
        <w:t>was</w:t>
      </w:r>
      <w:r w:rsidRPr="00FA7FE1">
        <w:rPr>
          <w:lang w:val="en-GB"/>
        </w:rPr>
        <w:t xml:space="preserve"> launched in </w:t>
      </w:r>
      <w:r w:rsidR="00A553B2" w:rsidRPr="00FA7FE1">
        <w:rPr>
          <w:lang w:val="en-GB"/>
        </w:rPr>
        <w:t xml:space="preserve">the </w:t>
      </w:r>
      <w:r w:rsidR="00FA7FE1" w:rsidRPr="00FA7FE1">
        <w:rPr>
          <w:lang w:val="en-GB"/>
        </w:rPr>
        <w:t>a</w:t>
      </w:r>
      <w:r w:rsidRPr="00FA7FE1">
        <w:rPr>
          <w:lang w:val="en-GB"/>
        </w:rPr>
        <w:t xml:space="preserve">utumn 2019 (Istanbul, 2-3 September and 13-15 November). As a result of these activities, the capacity of Tbilisi and Sukhumi translators from/into </w:t>
      </w:r>
      <w:r w:rsidR="00DF6FBC" w:rsidRPr="00FA7FE1">
        <w:rPr>
          <w:lang w:val="en-GB"/>
        </w:rPr>
        <w:t xml:space="preserve">the </w:t>
      </w:r>
      <w:r w:rsidRPr="00FA7FE1">
        <w:rPr>
          <w:lang w:val="en-GB"/>
        </w:rPr>
        <w:t>Abkhaz language ha</w:t>
      </w:r>
      <w:r w:rsidR="00DF6FBC" w:rsidRPr="00FA7FE1">
        <w:rPr>
          <w:lang w:val="en-GB"/>
        </w:rPr>
        <w:t>s</w:t>
      </w:r>
      <w:r w:rsidRPr="00FA7FE1">
        <w:rPr>
          <w:lang w:val="en-GB"/>
        </w:rPr>
        <w:t xml:space="preserve"> been enhanced and special attention has been paid to the terminology for social/legal/political matters, discussion on the availability of dictionaries and use of the same terminology as well as the translation of texts on current affairs/journalism and publicist writing. The dialogue between said specialists will continue in 2020 with </w:t>
      </w:r>
      <w:r w:rsidR="00DF6FBC" w:rsidRPr="00FA7FE1">
        <w:rPr>
          <w:lang w:val="en-GB"/>
        </w:rPr>
        <w:t>the</w:t>
      </w:r>
      <w:r w:rsidRPr="00FA7FE1">
        <w:rPr>
          <w:lang w:val="en-GB"/>
        </w:rPr>
        <w:t xml:space="preserve"> aim </w:t>
      </w:r>
      <w:r w:rsidR="00DF6FBC" w:rsidRPr="00FA7FE1">
        <w:rPr>
          <w:lang w:val="en-GB"/>
        </w:rPr>
        <w:t xml:space="preserve">of </w:t>
      </w:r>
      <w:r w:rsidRPr="00FA7FE1">
        <w:rPr>
          <w:lang w:val="en-GB"/>
        </w:rPr>
        <w:t>concentrat</w:t>
      </w:r>
      <w:r w:rsidR="00DF6FBC" w:rsidRPr="00FA7FE1">
        <w:rPr>
          <w:lang w:val="en-GB"/>
        </w:rPr>
        <w:t>ing</w:t>
      </w:r>
      <w:r w:rsidRPr="00FA7FE1">
        <w:rPr>
          <w:lang w:val="en-GB"/>
        </w:rPr>
        <w:t xml:space="preserve"> efforts on legal terminology and the translation of the European Convention on the Human Rights into </w:t>
      </w:r>
      <w:r w:rsidR="00DF6FBC" w:rsidRPr="00FA7FE1">
        <w:rPr>
          <w:lang w:val="en-GB"/>
        </w:rPr>
        <w:t xml:space="preserve">the </w:t>
      </w:r>
      <w:r w:rsidRPr="00FA7FE1">
        <w:rPr>
          <w:lang w:val="en-GB"/>
        </w:rPr>
        <w:t>Abkhaz language.</w:t>
      </w:r>
    </w:p>
    <w:p w14:paraId="06F65D29" w14:textId="77777777" w:rsidR="00E87224" w:rsidRPr="00FA7FE1" w:rsidRDefault="00E87224" w:rsidP="009E69A5">
      <w:pPr>
        <w:autoSpaceDE w:val="0"/>
        <w:autoSpaceDN w:val="0"/>
        <w:adjustRightInd w:val="0"/>
        <w:jc w:val="both"/>
        <w:rPr>
          <w:rFonts w:cs="Tahoma"/>
          <w:lang w:val="en-GB"/>
        </w:rPr>
      </w:pPr>
    </w:p>
    <w:p w14:paraId="089C8AB5" w14:textId="08AE572C" w:rsidR="00E87224" w:rsidRPr="00FA7FE1" w:rsidRDefault="00E87224" w:rsidP="000F6D1F">
      <w:pPr>
        <w:numPr>
          <w:ilvl w:val="0"/>
          <w:numId w:val="5"/>
        </w:numPr>
        <w:tabs>
          <w:tab w:val="clear" w:pos="360"/>
          <w:tab w:val="num" w:pos="709"/>
        </w:tabs>
        <w:autoSpaceDE w:val="0"/>
        <w:autoSpaceDN w:val="0"/>
        <w:adjustRightInd w:val="0"/>
        <w:ind w:left="0" w:firstLine="0"/>
        <w:jc w:val="both"/>
        <w:rPr>
          <w:rFonts w:cs="Tahoma"/>
          <w:lang w:val="en-GB"/>
        </w:rPr>
      </w:pPr>
      <w:r w:rsidRPr="00FA7FE1">
        <w:rPr>
          <w:rFonts w:cs="Tahoma"/>
          <w:lang w:val="en-GB"/>
        </w:rPr>
        <w:t xml:space="preserve">Dialogue on activities aimed at preventing and combating </w:t>
      </w:r>
      <w:r w:rsidR="003B606B" w:rsidRPr="00FA7FE1">
        <w:rPr>
          <w:rFonts w:cs="Tahoma"/>
          <w:lang w:val="en-GB"/>
        </w:rPr>
        <w:t xml:space="preserve">violence </w:t>
      </w:r>
      <w:r w:rsidRPr="00FA7FE1">
        <w:rPr>
          <w:rFonts w:cs="Tahoma"/>
          <w:lang w:val="en-GB"/>
        </w:rPr>
        <w:t>against women, including domestic violence, has resumed. During a meeting of civil society representatives involved in the fight against domestic violence (Istanbul, 23-25 October)</w:t>
      </w:r>
      <w:r w:rsidR="000F6D1F" w:rsidRPr="00FA7FE1">
        <w:rPr>
          <w:rFonts w:cs="Tahoma"/>
          <w:lang w:val="en-GB"/>
        </w:rPr>
        <w:t>,</w:t>
      </w:r>
      <w:r w:rsidRPr="00FA7FE1">
        <w:rPr>
          <w:rFonts w:cs="Tahoma"/>
          <w:lang w:val="en-GB"/>
        </w:rPr>
        <w:t xml:space="preserve"> focus </w:t>
      </w:r>
      <w:r w:rsidR="003B606B" w:rsidRPr="00FA7FE1">
        <w:rPr>
          <w:rFonts w:cs="Tahoma"/>
          <w:lang w:val="en-GB"/>
        </w:rPr>
        <w:t>was</w:t>
      </w:r>
      <w:r w:rsidRPr="00FA7FE1">
        <w:rPr>
          <w:rFonts w:cs="Tahoma"/>
          <w:lang w:val="en-GB"/>
        </w:rPr>
        <w:t xml:space="preserve"> made on the work of hotlines and individual consultations for the victims of violence. Moreover, the meeting of journalists from Tbilisi and Sukhumi </w:t>
      </w:r>
      <w:r w:rsidR="00DF6FBC" w:rsidRPr="00FA7FE1">
        <w:rPr>
          <w:rFonts w:cs="Tahoma"/>
          <w:lang w:val="en-GB"/>
        </w:rPr>
        <w:t xml:space="preserve">in Istanbul </w:t>
      </w:r>
      <w:r w:rsidRPr="00FA7FE1">
        <w:rPr>
          <w:rFonts w:cs="Tahoma"/>
          <w:lang w:val="en-GB"/>
        </w:rPr>
        <w:t xml:space="preserve">on 11-13 December </w:t>
      </w:r>
      <w:r w:rsidR="003B606B" w:rsidRPr="00FA7FE1">
        <w:rPr>
          <w:rFonts w:cs="Tahoma"/>
          <w:lang w:val="en-GB"/>
        </w:rPr>
        <w:t>was</w:t>
      </w:r>
      <w:r w:rsidRPr="00FA7FE1">
        <w:rPr>
          <w:rFonts w:cs="Tahoma"/>
          <w:lang w:val="en-GB"/>
        </w:rPr>
        <w:t xml:space="preserve"> devoted to media coverage and combating violence against women, as well as </w:t>
      </w:r>
      <w:r w:rsidR="00DF6FBC" w:rsidRPr="00FA7FE1">
        <w:rPr>
          <w:rFonts w:cs="Tahoma"/>
          <w:lang w:val="en-GB"/>
        </w:rPr>
        <w:t xml:space="preserve">the </w:t>
      </w:r>
      <w:r w:rsidRPr="00FA7FE1">
        <w:rPr>
          <w:rFonts w:cs="Tahoma"/>
          <w:lang w:val="en-GB"/>
        </w:rPr>
        <w:t xml:space="preserve">role of media in </w:t>
      </w:r>
      <w:r w:rsidR="00426E27" w:rsidRPr="00FA7FE1">
        <w:rPr>
          <w:rFonts w:cs="Tahoma"/>
          <w:lang w:val="en-GB"/>
        </w:rPr>
        <w:t xml:space="preserve">the </w:t>
      </w:r>
      <w:r w:rsidRPr="00FA7FE1">
        <w:rPr>
          <w:rFonts w:cs="Tahoma"/>
          <w:lang w:val="en-GB"/>
        </w:rPr>
        <w:t xml:space="preserve">economic and social empowerment of women as a tool of prevention of violence. The follow-up of the segment is scheduled for 2020 in the form of the training </w:t>
      </w:r>
      <w:r w:rsidRPr="00FA7FE1">
        <w:rPr>
          <w:rFonts w:cs="Tahoma"/>
          <w:lang w:val="en-GB"/>
        </w:rPr>
        <w:lastRenderedPageBreak/>
        <w:t>of psychologists and psychiatrists working with children from socially vulnerable families and dealing with the suicidal attitude of minors. Moreover, journalists’ possible initiatives in this segment will be followed up and further engagement of social workers - jointly with the representatives of the civil society engaged in the prevention of fight against women - will be promoted.</w:t>
      </w:r>
    </w:p>
    <w:p w14:paraId="4E5FEA74" w14:textId="77777777" w:rsidR="000F6D1F" w:rsidRPr="00FA7FE1" w:rsidRDefault="000F6D1F" w:rsidP="004B51A2">
      <w:pPr>
        <w:autoSpaceDE w:val="0"/>
        <w:autoSpaceDN w:val="0"/>
        <w:adjustRightInd w:val="0"/>
        <w:jc w:val="both"/>
        <w:rPr>
          <w:rFonts w:cs="Tahoma"/>
          <w:lang w:val="en-GB"/>
        </w:rPr>
      </w:pPr>
    </w:p>
    <w:p w14:paraId="2C308AC1" w14:textId="6ADE9317" w:rsidR="007C783C" w:rsidRPr="00FA7FE1" w:rsidRDefault="00BA5DDC" w:rsidP="004B51A2">
      <w:pPr>
        <w:numPr>
          <w:ilvl w:val="0"/>
          <w:numId w:val="5"/>
        </w:numPr>
        <w:tabs>
          <w:tab w:val="clear" w:pos="360"/>
          <w:tab w:val="num" w:pos="709"/>
        </w:tabs>
        <w:autoSpaceDE w:val="0"/>
        <w:autoSpaceDN w:val="0"/>
        <w:adjustRightInd w:val="0"/>
        <w:ind w:left="0" w:firstLine="0"/>
        <w:jc w:val="both"/>
        <w:rPr>
          <w:rFonts w:cs="Tahoma"/>
          <w:lang w:val="en-GB"/>
        </w:rPr>
      </w:pPr>
      <w:r w:rsidRPr="00FA7FE1">
        <w:rPr>
          <w:rFonts w:cs="Tahoma"/>
          <w:lang w:val="en-GB"/>
        </w:rPr>
        <w:t>An</w:t>
      </w:r>
      <w:r w:rsidR="007C783C" w:rsidRPr="00FA7FE1">
        <w:rPr>
          <w:rFonts w:cs="Tahoma"/>
          <w:lang w:val="en-GB"/>
        </w:rPr>
        <w:t xml:space="preserve"> activity on drug prevention </w:t>
      </w:r>
      <w:r w:rsidRPr="00FA7FE1">
        <w:rPr>
          <w:rFonts w:cs="Tahoma"/>
          <w:lang w:val="en-GB"/>
        </w:rPr>
        <w:t xml:space="preserve">aimed at producing joint video clips for the prevention of drug use among young people took place </w:t>
      </w:r>
      <w:r w:rsidR="00426E27" w:rsidRPr="00FA7FE1">
        <w:rPr>
          <w:rFonts w:cs="Tahoma"/>
          <w:lang w:val="en-GB"/>
        </w:rPr>
        <w:t xml:space="preserve">in Istanbul </w:t>
      </w:r>
      <w:r w:rsidRPr="00FA7FE1">
        <w:rPr>
          <w:rFonts w:cs="Tahoma"/>
          <w:lang w:val="en-GB"/>
        </w:rPr>
        <w:t xml:space="preserve">on 11-13 February 2020. </w:t>
      </w:r>
      <w:r w:rsidR="00426E27" w:rsidRPr="00FA7FE1">
        <w:rPr>
          <w:rFonts w:cs="Tahoma"/>
          <w:lang w:val="en-GB"/>
        </w:rPr>
        <w:t>Moreover</w:t>
      </w:r>
      <w:r w:rsidRPr="00FA7FE1">
        <w:rPr>
          <w:rFonts w:cs="Tahoma"/>
          <w:lang w:val="en-GB"/>
        </w:rPr>
        <w:t>, a</w:t>
      </w:r>
      <w:r w:rsidR="007C783C" w:rsidRPr="00FA7FE1">
        <w:rPr>
          <w:rFonts w:cs="Tahoma"/>
          <w:lang w:val="en-GB"/>
        </w:rPr>
        <w:t xml:space="preserve"> common digital workspace between drugs prevention and treatment professionals from Tbilisi and Sukhumi </w:t>
      </w:r>
      <w:r w:rsidR="00426E27" w:rsidRPr="00FA7FE1">
        <w:rPr>
          <w:rFonts w:cs="Tahoma"/>
          <w:lang w:val="en-GB"/>
        </w:rPr>
        <w:t>was</w:t>
      </w:r>
      <w:r w:rsidR="007C783C" w:rsidRPr="00FA7FE1">
        <w:rPr>
          <w:rFonts w:cs="Tahoma"/>
          <w:lang w:val="en-GB"/>
        </w:rPr>
        <w:t xml:space="preserve"> fully maintained in 2019.</w:t>
      </w:r>
    </w:p>
    <w:p w14:paraId="738156B3" w14:textId="77777777" w:rsidR="004821CF" w:rsidRPr="00FA7FE1" w:rsidRDefault="004821CF" w:rsidP="004B51A2">
      <w:pPr>
        <w:autoSpaceDE w:val="0"/>
        <w:autoSpaceDN w:val="0"/>
        <w:adjustRightInd w:val="0"/>
        <w:jc w:val="both"/>
        <w:rPr>
          <w:rFonts w:cs="Tahoma"/>
          <w:lang w:val="en-GB"/>
        </w:rPr>
      </w:pPr>
    </w:p>
    <w:p w14:paraId="5E4F927F" w14:textId="77777777" w:rsidR="007C783C" w:rsidRPr="00FA7FE1" w:rsidRDefault="007C783C" w:rsidP="007C783C">
      <w:pPr>
        <w:keepNext/>
        <w:keepLines/>
        <w:ind w:firstLine="720"/>
        <w:jc w:val="both"/>
        <w:rPr>
          <w:rFonts w:cs="Tahoma"/>
          <w:i/>
          <w:lang w:val="en-GB"/>
        </w:rPr>
      </w:pPr>
      <w:r w:rsidRPr="00FA7FE1">
        <w:rPr>
          <w:rFonts w:cs="Tahoma"/>
          <w:i/>
          <w:lang w:val="en-GB"/>
        </w:rPr>
        <w:t>CBMs with South Ossetia</w:t>
      </w:r>
    </w:p>
    <w:p w14:paraId="2DB3F56B" w14:textId="77777777" w:rsidR="007C783C" w:rsidRPr="00FA7FE1" w:rsidRDefault="007C783C" w:rsidP="007C783C">
      <w:pPr>
        <w:keepNext/>
        <w:keepLines/>
        <w:jc w:val="both"/>
        <w:rPr>
          <w:rFonts w:cs="Tahoma"/>
          <w:i/>
          <w:lang w:val="en-GB"/>
        </w:rPr>
      </w:pPr>
    </w:p>
    <w:p w14:paraId="6BDAD732" w14:textId="6D100FF0" w:rsidR="007C783C" w:rsidRPr="00FA7FE1" w:rsidRDefault="007C783C" w:rsidP="007C783C">
      <w:pPr>
        <w:keepNext/>
        <w:keepLines/>
        <w:numPr>
          <w:ilvl w:val="0"/>
          <w:numId w:val="5"/>
        </w:numPr>
        <w:tabs>
          <w:tab w:val="clear" w:pos="360"/>
          <w:tab w:val="num" w:pos="709"/>
        </w:tabs>
        <w:autoSpaceDE w:val="0"/>
        <w:autoSpaceDN w:val="0"/>
        <w:adjustRightInd w:val="0"/>
        <w:ind w:left="0" w:firstLine="0"/>
        <w:jc w:val="both"/>
        <w:rPr>
          <w:rFonts w:cs="Tahoma"/>
          <w:lang w:val="en-GB"/>
        </w:rPr>
      </w:pPr>
      <w:r w:rsidRPr="00FA7FE1">
        <w:rPr>
          <w:rFonts w:cs="Tahoma"/>
          <w:lang w:val="en-GB"/>
        </w:rPr>
        <w:t xml:space="preserve">The Secretariat was unable to develop and implement CBMs during the reporting period in South Ossetia. Various factors, not least stringent conditions of access for the international community to South Ossetia, continued to prevent a meaningful involvement of participants from Tskhinvali in the CBM programme. </w:t>
      </w:r>
      <w:r w:rsidR="002D6DAE" w:rsidRPr="00FA7FE1">
        <w:rPr>
          <w:rFonts w:cs="Tahoma"/>
          <w:lang w:val="en-GB"/>
        </w:rPr>
        <w:t xml:space="preserve">However, efforts </w:t>
      </w:r>
      <w:r w:rsidR="00426E27" w:rsidRPr="00FA7FE1">
        <w:rPr>
          <w:rFonts w:cs="Tahoma"/>
          <w:lang w:val="en-GB"/>
        </w:rPr>
        <w:t>have been</w:t>
      </w:r>
      <w:r w:rsidR="002D6DAE" w:rsidRPr="00FA7FE1">
        <w:rPr>
          <w:rFonts w:cs="Tahoma"/>
          <w:lang w:val="en-GB"/>
        </w:rPr>
        <w:t xml:space="preserve"> deployed to launch CBM activities in South Ossetia.</w:t>
      </w:r>
    </w:p>
    <w:p w14:paraId="036BEC29" w14:textId="77777777" w:rsidR="007C783C" w:rsidRPr="00FA7FE1" w:rsidRDefault="007C783C" w:rsidP="00CA7654">
      <w:pPr>
        <w:autoSpaceDE w:val="0"/>
        <w:autoSpaceDN w:val="0"/>
        <w:adjustRightInd w:val="0"/>
        <w:spacing w:after="120"/>
        <w:jc w:val="both"/>
        <w:rPr>
          <w:rFonts w:cs="Tahoma"/>
          <w:lang w:val="en-GB"/>
        </w:rPr>
      </w:pPr>
    </w:p>
    <w:p w14:paraId="29C2257D" w14:textId="77777777" w:rsidR="007C783C" w:rsidRPr="00FA7FE1" w:rsidRDefault="007C783C" w:rsidP="007C783C">
      <w:pPr>
        <w:jc w:val="both"/>
        <w:rPr>
          <w:rFonts w:cs="Tahoma"/>
          <w:i/>
          <w:lang w:val="en-GB"/>
        </w:rPr>
      </w:pPr>
      <w:r w:rsidRPr="00FA7FE1">
        <w:rPr>
          <w:rFonts w:cs="Tahoma"/>
          <w:i/>
          <w:lang w:val="en-GB"/>
        </w:rPr>
        <w:t xml:space="preserve">(b) </w:t>
      </w:r>
      <w:r w:rsidRPr="00FA7FE1">
        <w:rPr>
          <w:rFonts w:cs="Tahoma"/>
          <w:i/>
          <w:lang w:val="en-GB"/>
        </w:rPr>
        <w:tab/>
        <w:t>Plans for further action</w:t>
      </w:r>
    </w:p>
    <w:p w14:paraId="1824F0D3" w14:textId="77777777" w:rsidR="007C783C" w:rsidRPr="00FA7FE1" w:rsidRDefault="007C783C" w:rsidP="007C783C">
      <w:pPr>
        <w:autoSpaceDE w:val="0"/>
        <w:autoSpaceDN w:val="0"/>
        <w:adjustRightInd w:val="0"/>
        <w:jc w:val="both"/>
        <w:rPr>
          <w:rFonts w:cs="Tahoma"/>
          <w:lang w:val="en-GB"/>
        </w:rPr>
      </w:pPr>
    </w:p>
    <w:p w14:paraId="5C377BE8" w14:textId="6973351E" w:rsidR="007C783C" w:rsidRPr="00FA7FE1" w:rsidRDefault="007C783C" w:rsidP="007C783C">
      <w:pPr>
        <w:numPr>
          <w:ilvl w:val="0"/>
          <w:numId w:val="5"/>
        </w:numPr>
        <w:tabs>
          <w:tab w:val="clear" w:pos="360"/>
          <w:tab w:val="num" w:pos="709"/>
        </w:tabs>
        <w:autoSpaceDE w:val="0"/>
        <w:autoSpaceDN w:val="0"/>
        <w:adjustRightInd w:val="0"/>
        <w:ind w:left="0" w:firstLine="0"/>
        <w:jc w:val="both"/>
        <w:rPr>
          <w:rFonts w:cs="Tahoma"/>
          <w:lang w:val="en-GB"/>
        </w:rPr>
      </w:pPr>
      <w:r w:rsidRPr="00FA7FE1">
        <w:rPr>
          <w:rFonts w:cs="Tahoma"/>
          <w:lang w:val="en-GB"/>
        </w:rPr>
        <w:t xml:space="preserve">The Secretariat will continue to build on the substantial results of the CBMs carried out since 2010 to maintain the level of trust and contacts between </w:t>
      </w:r>
      <w:r w:rsidR="003B606B" w:rsidRPr="00FA7FE1">
        <w:rPr>
          <w:rFonts w:cs="Tahoma"/>
          <w:lang w:val="en-GB"/>
        </w:rPr>
        <w:t xml:space="preserve">actors </w:t>
      </w:r>
      <w:r w:rsidRPr="00FA7FE1">
        <w:rPr>
          <w:rFonts w:cs="Tahoma"/>
          <w:lang w:val="en-GB"/>
        </w:rPr>
        <w:t xml:space="preserve">on both sides of the dividing lines to promote reconciliation through respect for human rights. At the same time, options will be explored to increase the impact and extend dialogue to new domains with a pragmatic approach relying on the technical support of experts from other member States. </w:t>
      </w:r>
    </w:p>
    <w:p w14:paraId="57996865" w14:textId="77777777" w:rsidR="007C783C" w:rsidRPr="00FA7FE1" w:rsidRDefault="007C783C" w:rsidP="007C783C">
      <w:pPr>
        <w:autoSpaceDE w:val="0"/>
        <w:autoSpaceDN w:val="0"/>
        <w:adjustRightInd w:val="0"/>
        <w:jc w:val="both"/>
        <w:rPr>
          <w:rFonts w:cs="Tahoma"/>
          <w:lang w:val="en-GB"/>
        </w:rPr>
      </w:pPr>
    </w:p>
    <w:p w14:paraId="3346C0DC" w14:textId="1C4057E3" w:rsidR="007C783C" w:rsidRPr="00FA7FE1" w:rsidRDefault="007C783C" w:rsidP="007C783C">
      <w:pPr>
        <w:numPr>
          <w:ilvl w:val="0"/>
          <w:numId w:val="5"/>
        </w:numPr>
        <w:tabs>
          <w:tab w:val="clear" w:pos="360"/>
          <w:tab w:val="num" w:pos="709"/>
        </w:tabs>
        <w:autoSpaceDE w:val="0"/>
        <w:autoSpaceDN w:val="0"/>
        <w:adjustRightInd w:val="0"/>
        <w:ind w:left="0" w:firstLine="0"/>
        <w:jc w:val="both"/>
        <w:rPr>
          <w:rFonts w:cs="Tahoma"/>
          <w:lang w:val="en-GB"/>
        </w:rPr>
      </w:pPr>
      <w:r w:rsidRPr="00FA7FE1">
        <w:rPr>
          <w:rFonts w:cs="Tahoma"/>
          <w:lang w:val="en-GB"/>
        </w:rPr>
        <w:t xml:space="preserve">In addition to </w:t>
      </w:r>
      <w:r w:rsidR="00426E27" w:rsidRPr="00FA7FE1">
        <w:rPr>
          <w:rFonts w:cs="Tahoma"/>
          <w:lang w:val="en-GB"/>
        </w:rPr>
        <w:t xml:space="preserve">the </w:t>
      </w:r>
      <w:r w:rsidRPr="00FA7FE1">
        <w:rPr>
          <w:rFonts w:cs="Tahoma"/>
          <w:lang w:val="en-GB"/>
        </w:rPr>
        <w:t xml:space="preserve">planned follow-up </w:t>
      </w:r>
      <w:r w:rsidR="00426E27" w:rsidRPr="00FA7FE1">
        <w:rPr>
          <w:rFonts w:cs="Tahoma"/>
          <w:lang w:val="en-GB"/>
        </w:rPr>
        <w:t>on the</w:t>
      </w:r>
      <w:r w:rsidRPr="00FA7FE1">
        <w:rPr>
          <w:rFonts w:cs="Tahoma"/>
          <w:lang w:val="en-GB"/>
        </w:rPr>
        <w:t xml:space="preserve"> previous and current initiatives mentioned above, efforts will focus on</w:t>
      </w:r>
      <w:r w:rsidR="00972757" w:rsidRPr="00FA7FE1">
        <w:rPr>
          <w:rFonts w:cs="Tahoma"/>
          <w:lang w:val="en-GB"/>
        </w:rPr>
        <w:t xml:space="preserve"> contributing to the holding of</w:t>
      </w:r>
      <w:r w:rsidRPr="00FA7FE1">
        <w:rPr>
          <w:rFonts w:cs="Tahoma"/>
          <w:lang w:val="en-GB"/>
        </w:rPr>
        <w:t xml:space="preserve"> a Youth Peace Camp; facilitating dialogue </w:t>
      </w:r>
      <w:r w:rsidR="00BA5DDC" w:rsidRPr="00FA7FE1">
        <w:rPr>
          <w:rFonts w:cs="Tahoma"/>
          <w:lang w:val="en-GB"/>
        </w:rPr>
        <w:t>with</w:t>
      </w:r>
      <w:r w:rsidRPr="00FA7FE1">
        <w:rPr>
          <w:rFonts w:cs="Tahoma"/>
          <w:lang w:val="en-GB"/>
        </w:rPr>
        <w:t xml:space="preserve"> English teachers</w:t>
      </w:r>
      <w:r w:rsidR="00BA5DDC" w:rsidRPr="00FA7FE1">
        <w:rPr>
          <w:rFonts w:cs="Tahoma"/>
          <w:lang w:val="en-GB"/>
        </w:rPr>
        <w:t xml:space="preserve"> from South Ossetia</w:t>
      </w:r>
      <w:r w:rsidRPr="00FA7FE1">
        <w:rPr>
          <w:rFonts w:cs="Tahoma"/>
          <w:lang w:val="en-GB"/>
        </w:rPr>
        <w:t>; facilitating dialogue between mental health specialists</w:t>
      </w:r>
      <w:r w:rsidR="00701C9E" w:rsidRPr="00FA7FE1">
        <w:rPr>
          <w:rFonts w:cs="Tahoma"/>
          <w:lang w:val="en-GB"/>
        </w:rPr>
        <w:t>; facilitating dialogue between specialists on</w:t>
      </w:r>
      <w:r w:rsidR="00426E27" w:rsidRPr="00FA7FE1">
        <w:rPr>
          <w:rFonts w:cs="Tahoma"/>
          <w:lang w:val="en-GB"/>
        </w:rPr>
        <w:t xml:space="preserve"> the</w:t>
      </w:r>
      <w:r w:rsidR="00701C9E" w:rsidRPr="00FA7FE1">
        <w:rPr>
          <w:rFonts w:cs="Tahoma"/>
          <w:lang w:val="en-GB"/>
        </w:rPr>
        <w:t xml:space="preserve"> situation of minors in prisons;</w:t>
      </w:r>
      <w:r w:rsidRPr="00FA7FE1">
        <w:rPr>
          <w:rFonts w:cs="Tahoma"/>
          <w:lang w:val="en-GB"/>
        </w:rPr>
        <w:t xml:space="preserve"> </w:t>
      </w:r>
      <w:r w:rsidR="00701C9E" w:rsidRPr="00FA7FE1">
        <w:rPr>
          <w:rFonts w:cs="Tahoma"/>
          <w:lang w:val="en-GB"/>
        </w:rPr>
        <w:t xml:space="preserve">and facilitating dialogue between journalists. </w:t>
      </w:r>
      <w:r w:rsidRPr="00FA7FE1">
        <w:rPr>
          <w:rFonts w:cs="Tahoma"/>
          <w:lang w:val="en-GB"/>
        </w:rPr>
        <w:t xml:space="preserve">Other proposals are currently under discussion with the Georgian central government and stakeholders in Sukhumi. </w:t>
      </w:r>
    </w:p>
    <w:p w14:paraId="34281652" w14:textId="77777777" w:rsidR="002D6DAE" w:rsidRPr="00FA7FE1" w:rsidRDefault="002D6DAE" w:rsidP="00FA7FE1">
      <w:pPr>
        <w:autoSpaceDE w:val="0"/>
        <w:autoSpaceDN w:val="0"/>
        <w:adjustRightInd w:val="0"/>
        <w:spacing w:after="120"/>
        <w:jc w:val="both"/>
        <w:rPr>
          <w:rFonts w:cs="Tahoma"/>
          <w:lang w:val="en-GB"/>
        </w:rPr>
      </w:pPr>
    </w:p>
    <w:sectPr w:rsidR="002D6DAE" w:rsidRPr="00FA7FE1" w:rsidSect="000911E5">
      <w:pgSz w:w="11907" w:h="16840" w:code="9"/>
      <w:pgMar w:top="1440" w:right="1644"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136DC" w14:textId="77777777" w:rsidR="00AC7854" w:rsidRDefault="00AC7854" w:rsidP="00E64288">
      <w:r>
        <w:separator/>
      </w:r>
    </w:p>
  </w:endnote>
  <w:endnote w:type="continuationSeparator" w:id="0">
    <w:p w14:paraId="2E6E9BB4" w14:textId="77777777" w:rsidR="00AC7854" w:rsidRDefault="00AC7854" w:rsidP="00E6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lonna MT">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2C04F" w14:textId="77777777" w:rsidR="00AC7854" w:rsidRDefault="00AC7854" w:rsidP="00E64288">
      <w:r>
        <w:separator/>
      </w:r>
    </w:p>
  </w:footnote>
  <w:footnote w:type="continuationSeparator" w:id="0">
    <w:p w14:paraId="595D7DB3" w14:textId="77777777" w:rsidR="00AC7854" w:rsidRDefault="00AC7854" w:rsidP="00E64288">
      <w:r>
        <w:continuationSeparator/>
      </w:r>
    </w:p>
  </w:footnote>
  <w:footnote w:id="1">
    <w:p w14:paraId="2FE41DAD" w14:textId="77777777" w:rsidR="00BC41B2" w:rsidRPr="00CA7654" w:rsidRDefault="00BC41B2" w:rsidP="00CA7654">
      <w:pPr>
        <w:jc w:val="both"/>
        <w:rPr>
          <w:sz w:val="18"/>
          <w:szCs w:val="18"/>
        </w:rPr>
      </w:pPr>
      <w:r w:rsidRPr="00706883">
        <w:rPr>
          <w:rStyle w:val="FootnoteReference"/>
          <w:sz w:val="18"/>
          <w:szCs w:val="18"/>
        </w:rPr>
        <w:footnoteRef/>
      </w:r>
      <w:r w:rsidRPr="00706883">
        <w:rPr>
          <w:sz w:val="18"/>
          <w:szCs w:val="18"/>
        </w:rPr>
        <w:t xml:space="preserve"> This document has been classified restricted until examination by the Committee of Ministers.</w:t>
      </w:r>
    </w:p>
    <w:p w14:paraId="5D535395" w14:textId="77777777" w:rsidR="00BC41B2" w:rsidRPr="00CA7654" w:rsidRDefault="00BC41B2" w:rsidP="00CA7654">
      <w:pPr>
        <w:pStyle w:val="FootnoteText"/>
        <w:jc w:val="both"/>
        <w:rPr>
          <w:sz w:val="18"/>
          <w:szCs w:val="18"/>
        </w:rPr>
      </w:pPr>
    </w:p>
  </w:footnote>
  <w:footnote w:id="2">
    <w:p w14:paraId="205BD89E" w14:textId="6B784FF1" w:rsidR="00BC41B2" w:rsidRPr="00706883" w:rsidRDefault="00BC41B2">
      <w:pPr>
        <w:pStyle w:val="FootnoteText"/>
        <w:jc w:val="both"/>
        <w:rPr>
          <w:rFonts w:cs="Tahoma"/>
          <w:sz w:val="18"/>
          <w:szCs w:val="18"/>
          <w:lang w:val="en-GB"/>
        </w:rPr>
      </w:pPr>
      <w:r w:rsidRPr="00706883">
        <w:rPr>
          <w:rStyle w:val="FootnoteReference"/>
          <w:rFonts w:cs="Tahoma"/>
          <w:sz w:val="18"/>
          <w:szCs w:val="18"/>
          <w:lang w:val="en-GB"/>
        </w:rPr>
        <w:footnoteRef/>
      </w:r>
      <w:r w:rsidRPr="00706883">
        <w:rPr>
          <w:rFonts w:cs="Tahoma"/>
          <w:sz w:val="18"/>
          <w:szCs w:val="18"/>
          <w:lang w:val="en-GB"/>
        </w:rPr>
        <w:t xml:space="preserve"> It is a fundamental objective of the member </w:t>
      </w:r>
      <w:r>
        <w:rPr>
          <w:rFonts w:cs="Tahoma"/>
          <w:sz w:val="18"/>
          <w:szCs w:val="18"/>
          <w:lang w:val="en-GB"/>
        </w:rPr>
        <w:t>S</w:t>
      </w:r>
      <w:r w:rsidRPr="00706883">
        <w:rPr>
          <w:rFonts w:cs="Tahoma"/>
          <w:sz w:val="18"/>
          <w:szCs w:val="18"/>
          <w:lang w:val="en-GB"/>
        </w:rPr>
        <w:t xml:space="preserve">tates of the Council of Europe to uphold the territorial integrity of Georgia. However, the Russian Federation recognised South Ossetia and Abkhazia as independent states on 26 August 2008. </w:t>
      </w:r>
    </w:p>
  </w:footnote>
  <w:footnote w:id="3">
    <w:p w14:paraId="187D68A9" w14:textId="2B0C76A5" w:rsidR="00BC41B2" w:rsidRDefault="00BC41B2">
      <w:pPr>
        <w:pStyle w:val="FootnoteText"/>
        <w:rPr>
          <w:sz w:val="18"/>
          <w:szCs w:val="18"/>
        </w:rPr>
      </w:pPr>
      <w:r>
        <w:rPr>
          <w:rStyle w:val="FootnoteReference"/>
        </w:rPr>
        <w:footnoteRef/>
      </w:r>
      <w:r>
        <w:t xml:space="preserve"> </w:t>
      </w:r>
      <w:r w:rsidRPr="00D81866">
        <w:rPr>
          <w:sz w:val="18"/>
          <w:szCs w:val="18"/>
        </w:rPr>
        <w:t>Press communiqué of the Co-Chairs of the Geneva International Discussions</w:t>
      </w:r>
      <w:r>
        <w:rPr>
          <w:sz w:val="18"/>
          <w:szCs w:val="18"/>
        </w:rPr>
        <w:t>,</w:t>
      </w:r>
      <w:r w:rsidRPr="00D81866">
        <w:t xml:space="preserve"> </w:t>
      </w:r>
      <w:r w:rsidRPr="00D81866">
        <w:rPr>
          <w:sz w:val="18"/>
          <w:szCs w:val="18"/>
        </w:rPr>
        <w:t>9 October 2019</w:t>
      </w:r>
      <w:r>
        <w:rPr>
          <w:sz w:val="18"/>
          <w:szCs w:val="18"/>
        </w:rPr>
        <w:t>.</w:t>
      </w:r>
    </w:p>
    <w:p w14:paraId="18305BAE" w14:textId="39686ECB" w:rsidR="00BC41B2" w:rsidRPr="00D81866" w:rsidRDefault="00AC7854">
      <w:pPr>
        <w:pStyle w:val="FootnoteText"/>
        <w:rPr>
          <w:sz w:val="18"/>
          <w:szCs w:val="18"/>
        </w:rPr>
      </w:pPr>
      <w:hyperlink r:id="rId1" w:history="1">
        <w:r w:rsidR="00BC41B2" w:rsidRPr="00D81866">
          <w:rPr>
            <w:rStyle w:val="Hyperlink"/>
            <w:sz w:val="18"/>
            <w:szCs w:val="18"/>
          </w:rPr>
          <w:t>https://www.osce.org/chairmanship/435188</w:t>
        </w:r>
      </w:hyperlink>
    </w:p>
  </w:footnote>
  <w:footnote w:id="4">
    <w:p w14:paraId="6D79F5D9" w14:textId="77777777" w:rsidR="00BC41B2" w:rsidRDefault="00BC41B2" w:rsidP="00D81866">
      <w:pPr>
        <w:pStyle w:val="FootnoteText"/>
        <w:rPr>
          <w:sz w:val="18"/>
          <w:szCs w:val="18"/>
        </w:rPr>
      </w:pPr>
      <w:r>
        <w:rPr>
          <w:rStyle w:val="FootnoteReference"/>
        </w:rPr>
        <w:footnoteRef/>
      </w:r>
      <w:r>
        <w:t xml:space="preserve"> </w:t>
      </w:r>
      <w:r w:rsidRPr="00D81866">
        <w:rPr>
          <w:sz w:val="18"/>
          <w:szCs w:val="18"/>
        </w:rPr>
        <w:t>Press communiqué of the Co-Chairs of the Geneva International Discussions</w:t>
      </w:r>
      <w:r>
        <w:rPr>
          <w:sz w:val="18"/>
          <w:szCs w:val="18"/>
        </w:rPr>
        <w:t xml:space="preserve">, </w:t>
      </w:r>
      <w:r w:rsidRPr="00D81866">
        <w:rPr>
          <w:sz w:val="18"/>
          <w:szCs w:val="18"/>
        </w:rPr>
        <w:t>11 December 2019</w:t>
      </w:r>
      <w:r>
        <w:rPr>
          <w:sz w:val="18"/>
          <w:szCs w:val="18"/>
        </w:rPr>
        <w:t>.</w:t>
      </w:r>
    </w:p>
    <w:p w14:paraId="7AD97625" w14:textId="77777777" w:rsidR="00BC41B2" w:rsidRPr="00D81866" w:rsidRDefault="00AC7854" w:rsidP="00D81866">
      <w:pPr>
        <w:pStyle w:val="FootnoteText"/>
        <w:rPr>
          <w:sz w:val="18"/>
          <w:szCs w:val="18"/>
        </w:rPr>
      </w:pPr>
      <w:hyperlink r:id="rId2" w:history="1">
        <w:r w:rsidR="00BC41B2" w:rsidRPr="00D81866">
          <w:rPr>
            <w:rStyle w:val="Hyperlink"/>
            <w:sz w:val="18"/>
            <w:szCs w:val="18"/>
          </w:rPr>
          <w:t>https://www.osce.org/chairmanship/441940</w:t>
        </w:r>
      </w:hyperlink>
    </w:p>
  </w:footnote>
  <w:footnote w:id="5">
    <w:p w14:paraId="542502EC" w14:textId="019FBE66" w:rsidR="00BC41B2" w:rsidRPr="00CA7654" w:rsidRDefault="00BC41B2" w:rsidP="00CA7654">
      <w:pPr>
        <w:pStyle w:val="FootnoteText"/>
        <w:jc w:val="both"/>
        <w:rPr>
          <w:sz w:val="18"/>
          <w:szCs w:val="18"/>
          <w:lang w:val="en-GB"/>
        </w:rPr>
      </w:pPr>
      <w:r w:rsidRPr="00CA7654">
        <w:rPr>
          <w:rStyle w:val="FootnoteReference"/>
          <w:sz w:val="18"/>
          <w:szCs w:val="18"/>
        </w:rPr>
        <w:footnoteRef/>
      </w:r>
      <w:r w:rsidRPr="00CA7654">
        <w:rPr>
          <w:sz w:val="18"/>
          <w:szCs w:val="18"/>
        </w:rPr>
        <w:t xml:space="preserve"> Ten of them were communicated and the applicant parties submitted their initial and</w:t>
      </w:r>
      <w:r w:rsidRPr="00706883">
        <w:rPr>
          <w:sz w:val="18"/>
          <w:szCs w:val="18"/>
        </w:rPr>
        <w:t>/or</w:t>
      </w:r>
      <w:r w:rsidRPr="00CA7654">
        <w:rPr>
          <w:sz w:val="18"/>
          <w:szCs w:val="18"/>
        </w:rPr>
        <w:t xml:space="preserve"> additional observations on the admissibility and merits. The respondent and third </w:t>
      </w:r>
      <w:r>
        <w:rPr>
          <w:sz w:val="18"/>
          <w:szCs w:val="18"/>
        </w:rPr>
        <w:t>g</w:t>
      </w:r>
      <w:r w:rsidRPr="00CA7654">
        <w:rPr>
          <w:sz w:val="18"/>
          <w:szCs w:val="18"/>
        </w:rPr>
        <w:t xml:space="preserve">overnment now have the possibility to submit their comments by the end of March 2020. </w:t>
      </w:r>
    </w:p>
  </w:footnote>
  <w:footnote w:id="6">
    <w:p w14:paraId="2AEDE74F" w14:textId="150F59F1" w:rsidR="00BC41B2" w:rsidRPr="00CA7654" w:rsidRDefault="00BC41B2" w:rsidP="00CA7654">
      <w:pPr>
        <w:pStyle w:val="FootnoteText"/>
        <w:jc w:val="both"/>
        <w:rPr>
          <w:sz w:val="18"/>
          <w:szCs w:val="18"/>
        </w:rPr>
      </w:pPr>
      <w:r w:rsidRPr="00CA7654">
        <w:rPr>
          <w:rStyle w:val="FootnoteReference"/>
          <w:sz w:val="18"/>
          <w:szCs w:val="18"/>
        </w:rPr>
        <w:footnoteRef/>
      </w:r>
      <w:r w:rsidRPr="00CA7654">
        <w:rPr>
          <w:sz w:val="18"/>
          <w:szCs w:val="18"/>
        </w:rPr>
        <w:t xml:space="preserve"> Out of which 170 applications were communicated to the Russian </w:t>
      </w:r>
      <w:r>
        <w:rPr>
          <w:sz w:val="18"/>
          <w:szCs w:val="18"/>
        </w:rPr>
        <w:t>g</w:t>
      </w:r>
      <w:r w:rsidRPr="00CA7654">
        <w:rPr>
          <w:sz w:val="18"/>
          <w:szCs w:val="18"/>
        </w:rPr>
        <w:t>overnment for information.</w:t>
      </w:r>
      <w:r w:rsidRPr="00706883">
        <w:rPr>
          <w:sz w:val="18"/>
          <w:szCs w:val="18"/>
        </w:rPr>
        <w:t xml:space="preserve"> </w:t>
      </w:r>
      <w:r w:rsidRPr="00706883">
        <w:rPr>
          <w:rFonts w:cs="Tahoma"/>
          <w:bCs/>
          <w:sz w:val="18"/>
          <w:szCs w:val="18"/>
          <w:lang w:val="en-GB" w:eastAsia="en-GB"/>
        </w:rPr>
        <w:t xml:space="preserve">The Georgian </w:t>
      </w:r>
      <w:r>
        <w:rPr>
          <w:rFonts w:cs="Tahoma"/>
          <w:bCs/>
          <w:sz w:val="18"/>
          <w:szCs w:val="18"/>
          <w:lang w:val="en-GB" w:eastAsia="en-GB"/>
        </w:rPr>
        <w:t>g</w:t>
      </w:r>
      <w:r w:rsidRPr="00706883">
        <w:rPr>
          <w:rFonts w:cs="Tahoma"/>
          <w:bCs/>
          <w:sz w:val="18"/>
          <w:szCs w:val="18"/>
          <w:lang w:val="en-GB" w:eastAsia="en-GB"/>
        </w:rPr>
        <w:t>overnment was informed about the communication as a third party.</w:t>
      </w:r>
    </w:p>
  </w:footnote>
  <w:footnote w:id="7">
    <w:p w14:paraId="03CF97CC" w14:textId="59026BD4" w:rsidR="00BC41B2" w:rsidRPr="00CA7654" w:rsidRDefault="00BC41B2" w:rsidP="001E27DA">
      <w:pPr>
        <w:pStyle w:val="FootnoteText"/>
        <w:rPr>
          <w:sz w:val="18"/>
          <w:szCs w:val="18"/>
        </w:rPr>
      </w:pPr>
      <w:r w:rsidRPr="00CA7654">
        <w:rPr>
          <w:rStyle w:val="FootnoteReference"/>
          <w:sz w:val="18"/>
          <w:szCs w:val="18"/>
        </w:rPr>
        <w:footnoteRef/>
      </w:r>
      <w:r w:rsidRPr="00706883">
        <w:rPr>
          <w:sz w:val="18"/>
          <w:szCs w:val="18"/>
        </w:rPr>
        <w:t xml:space="preserve"> PACE, A</w:t>
      </w:r>
      <w:r>
        <w:rPr>
          <w:sz w:val="18"/>
          <w:szCs w:val="18"/>
        </w:rPr>
        <w:t>d</w:t>
      </w:r>
      <w:r w:rsidRPr="00706883">
        <w:rPr>
          <w:sz w:val="18"/>
          <w:szCs w:val="18"/>
        </w:rPr>
        <w:t xml:space="preserve">dress by Ms Salome Zourabichvili, President of Georgia, 28 January 2020: </w:t>
      </w:r>
      <w:hyperlink r:id="rId3" w:anchor="theme-570" w:history="1">
        <w:r w:rsidRPr="00CA7654">
          <w:rPr>
            <w:rStyle w:val="Hyperlink"/>
            <w:sz w:val="18"/>
            <w:szCs w:val="18"/>
          </w:rPr>
          <w:t>http://assembly.coe.int/nwbs/verbatim/?sessionid=202001&amp;day=2020-01-28&amp;afternoon=False&amp;lang=EN&amp;contentlang=EN#theme-570</w:t>
        </w:r>
      </w:hyperlink>
    </w:p>
  </w:footnote>
  <w:footnote w:id="8">
    <w:p w14:paraId="4DFF1545" w14:textId="3560228D" w:rsidR="00BC41B2" w:rsidRPr="00CA7654" w:rsidRDefault="00BC41B2" w:rsidP="00CA7654">
      <w:pPr>
        <w:pStyle w:val="FootnoteText"/>
        <w:jc w:val="both"/>
        <w:rPr>
          <w:sz w:val="18"/>
          <w:szCs w:val="18"/>
        </w:rPr>
      </w:pPr>
      <w:r w:rsidRPr="00CA7654">
        <w:rPr>
          <w:rStyle w:val="FootnoteReference"/>
          <w:sz w:val="18"/>
          <w:szCs w:val="18"/>
        </w:rPr>
        <w:footnoteRef/>
      </w:r>
      <w:r w:rsidRPr="00CA7654">
        <w:rPr>
          <w:sz w:val="18"/>
          <w:szCs w:val="18"/>
        </w:rPr>
        <w:t xml:space="preserve"> </w:t>
      </w:r>
      <w:r w:rsidRPr="00706883">
        <w:rPr>
          <w:sz w:val="18"/>
          <w:szCs w:val="18"/>
        </w:rPr>
        <w:t xml:space="preserve">Statement by the Office of the State Minister for Reconciliation and Civic Equality of Georgia: </w:t>
      </w:r>
      <w:hyperlink r:id="rId4" w:history="1">
        <w:r w:rsidRPr="00CA7654">
          <w:rPr>
            <w:rStyle w:val="Hyperlink"/>
            <w:sz w:val="18"/>
            <w:szCs w:val="18"/>
          </w:rPr>
          <w:t>https://smr.gov.ge/en/news/read/1715/</w:t>
        </w:r>
      </w:hyperlink>
      <w:r w:rsidRPr="00706883">
        <w:rPr>
          <w:sz w:val="18"/>
          <w:szCs w:val="18"/>
        </w:rPr>
        <w:t xml:space="preserve"> </w:t>
      </w:r>
    </w:p>
  </w:footnote>
  <w:footnote w:id="9">
    <w:p w14:paraId="1F3CBFEA" w14:textId="624CBA29" w:rsidR="00BC41B2" w:rsidRPr="009B5DB4" w:rsidRDefault="00BC41B2" w:rsidP="00CA7654">
      <w:pPr>
        <w:pStyle w:val="FootnoteText"/>
        <w:jc w:val="both"/>
        <w:rPr>
          <w:sz w:val="18"/>
          <w:szCs w:val="18"/>
        </w:rPr>
      </w:pPr>
      <w:r w:rsidRPr="00CA7654">
        <w:rPr>
          <w:rStyle w:val="FootnoteReference"/>
          <w:sz w:val="18"/>
          <w:szCs w:val="18"/>
        </w:rPr>
        <w:footnoteRef/>
      </w:r>
      <w:r w:rsidRPr="00CA7654">
        <w:rPr>
          <w:sz w:val="18"/>
          <w:szCs w:val="18"/>
        </w:rPr>
        <w:t xml:space="preserve"> </w:t>
      </w:r>
      <w:r w:rsidRPr="00002177">
        <w:rPr>
          <w:sz w:val="18"/>
          <w:szCs w:val="18"/>
        </w:rPr>
        <w:t>Within the framework of the program</w:t>
      </w:r>
      <w:r>
        <w:rPr>
          <w:sz w:val="18"/>
          <w:szCs w:val="18"/>
        </w:rPr>
        <w:t>me</w:t>
      </w:r>
      <w:r w:rsidRPr="00002177">
        <w:rPr>
          <w:sz w:val="18"/>
          <w:szCs w:val="18"/>
        </w:rPr>
        <w:t>, beneficiaries have undergone an intensive training course in order to continue their studies in higher education program</w:t>
      </w:r>
      <w:r>
        <w:rPr>
          <w:sz w:val="18"/>
          <w:szCs w:val="18"/>
        </w:rPr>
        <w:t>me</w:t>
      </w:r>
      <w:r w:rsidRPr="00002177">
        <w:rPr>
          <w:sz w:val="18"/>
          <w:szCs w:val="18"/>
        </w:rPr>
        <w:t xml:space="preserve">s. </w:t>
      </w:r>
      <w:r w:rsidRPr="009B5DB4">
        <w:rPr>
          <w:bCs/>
          <w:sz w:val="18"/>
          <w:szCs w:val="18"/>
          <w:lang w:val="en-GB"/>
        </w:rPr>
        <w:t>139 students from both Abkhazia and South Ossetia have completed this program</w:t>
      </w:r>
      <w:r>
        <w:rPr>
          <w:bCs/>
          <w:sz w:val="18"/>
          <w:szCs w:val="18"/>
          <w:lang w:val="en-GB"/>
        </w:rPr>
        <w:t>me</w:t>
      </w:r>
      <w:r w:rsidRPr="009B5DB4">
        <w:rPr>
          <w:bCs/>
          <w:sz w:val="18"/>
          <w:szCs w:val="18"/>
          <w:lang w:val="en-GB"/>
        </w:rPr>
        <w:t xml:space="preserve"> since September 2019. </w:t>
      </w:r>
    </w:p>
  </w:footnote>
  <w:footnote w:id="10">
    <w:p w14:paraId="789B3A70" w14:textId="08FA34F1" w:rsidR="00BC41B2" w:rsidRPr="00CA7654" w:rsidRDefault="00BC41B2" w:rsidP="00CA7654">
      <w:pPr>
        <w:pStyle w:val="FootnoteText"/>
        <w:jc w:val="both"/>
        <w:rPr>
          <w:sz w:val="18"/>
          <w:szCs w:val="18"/>
        </w:rPr>
      </w:pPr>
      <w:r w:rsidRPr="009B5DB4">
        <w:rPr>
          <w:rStyle w:val="FootnoteReference"/>
          <w:sz w:val="18"/>
          <w:szCs w:val="18"/>
        </w:rPr>
        <w:footnoteRef/>
      </w:r>
      <w:r w:rsidRPr="009B5DB4">
        <w:rPr>
          <w:sz w:val="18"/>
          <w:szCs w:val="18"/>
        </w:rPr>
        <w:t xml:space="preserve"> According to </w:t>
      </w:r>
      <w:r w:rsidRPr="009B5DB4">
        <w:rPr>
          <w:rFonts w:cs="Tahoma"/>
          <w:sz w:val="18"/>
          <w:szCs w:val="18"/>
          <w:lang w:val="en-GB"/>
        </w:rPr>
        <w:t>the Office of the Georgian State Minister for Reconciliation and Civic Equality, out of 400 applications to this grants program</w:t>
      </w:r>
      <w:r>
        <w:rPr>
          <w:rFonts w:cs="Tahoma"/>
          <w:sz w:val="18"/>
          <w:szCs w:val="18"/>
          <w:lang w:val="en-GB"/>
        </w:rPr>
        <w:t>me</w:t>
      </w:r>
      <w:r w:rsidRPr="009B5DB4">
        <w:rPr>
          <w:rFonts w:cs="Tahoma"/>
          <w:sz w:val="18"/>
          <w:szCs w:val="18"/>
          <w:lang w:val="en-GB"/>
        </w:rPr>
        <w:t>, 75% came from Abkhazia and/or South Ossetia.</w:t>
      </w:r>
      <w:r>
        <w:rPr>
          <w:rFonts w:cs="Tahoma"/>
          <w:sz w:val="18"/>
          <w:szCs w:val="18"/>
          <w:lang w:val="en-GB"/>
        </w:rPr>
        <w:t xml:space="preserve"> </w:t>
      </w:r>
    </w:p>
  </w:footnote>
  <w:footnote w:id="11">
    <w:p w14:paraId="7A8FB5AF" w14:textId="4B44E39D" w:rsidR="00BC41B2" w:rsidRPr="00275061" w:rsidRDefault="00BC41B2">
      <w:pPr>
        <w:pStyle w:val="FootnoteText"/>
      </w:pPr>
      <w:r>
        <w:rPr>
          <w:rStyle w:val="FootnoteReference"/>
        </w:rPr>
        <w:footnoteRef/>
      </w:r>
      <w:r>
        <w:t xml:space="preserve"> </w:t>
      </w:r>
      <w:r w:rsidRPr="004B51A2">
        <w:rPr>
          <w:sz w:val="18"/>
          <w:szCs w:val="18"/>
        </w:rPr>
        <w:t>Incidentally,</w:t>
      </w:r>
      <w:r>
        <w:rPr>
          <w:sz w:val="18"/>
          <w:szCs w:val="18"/>
        </w:rPr>
        <w:t xml:space="preserve"> by the end of February,</w:t>
      </w:r>
      <w:r w:rsidRPr="004B51A2">
        <w:rPr>
          <w:sz w:val="18"/>
          <w:szCs w:val="18"/>
        </w:rPr>
        <w:t xml:space="preserve"> it was reported that the bridge </w:t>
      </w:r>
      <w:r>
        <w:rPr>
          <w:sz w:val="18"/>
          <w:szCs w:val="18"/>
        </w:rPr>
        <w:t>had been</w:t>
      </w:r>
      <w:r w:rsidRPr="004B51A2">
        <w:rPr>
          <w:sz w:val="18"/>
          <w:szCs w:val="18"/>
        </w:rPr>
        <w:t xml:space="preserve"> closed </w:t>
      </w:r>
      <w:r>
        <w:rPr>
          <w:sz w:val="18"/>
          <w:szCs w:val="18"/>
        </w:rPr>
        <w:t xml:space="preserve">by the </w:t>
      </w:r>
      <w:r w:rsidRPr="004B51A2">
        <w:rPr>
          <w:i/>
          <w:iCs/>
          <w:sz w:val="18"/>
          <w:szCs w:val="18"/>
        </w:rPr>
        <w:t>de facto</w:t>
      </w:r>
      <w:r>
        <w:rPr>
          <w:sz w:val="18"/>
          <w:szCs w:val="18"/>
        </w:rPr>
        <w:t xml:space="preserve"> authorities until further notice</w:t>
      </w:r>
      <w:r w:rsidRPr="004B51A2">
        <w:rPr>
          <w:sz w:val="18"/>
          <w:szCs w:val="18"/>
        </w:rPr>
        <w:t>.</w:t>
      </w:r>
    </w:p>
  </w:footnote>
  <w:footnote w:id="12">
    <w:p w14:paraId="4C5BFA78" w14:textId="680A3C9C" w:rsidR="00BC41B2" w:rsidRPr="00CA7654" w:rsidRDefault="00BC41B2" w:rsidP="0048639A">
      <w:pPr>
        <w:pStyle w:val="NormalWeb"/>
        <w:widowControl w:val="0"/>
        <w:spacing w:before="0" w:beforeAutospacing="0" w:after="0" w:afterAutospacing="0"/>
        <w:jc w:val="both"/>
        <w:rPr>
          <w:rFonts w:cs="Tahoma"/>
          <w:bCs/>
          <w:sz w:val="18"/>
          <w:szCs w:val="18"/>
          <w:lang w:val="en-GB"/>
        </w:rPr>
      </w:pPr>
      <w:r w:rsidRPr="00CA7654">
        <w:rPr>
          <w:rStyle w:val="FootnoteReference"/>
          <w:sz w:val="18"/>
          <w:szCs w:val="18"/>
        </w:rPr>
        <w:footnoteRef/>
      </w:r>
      <w:r w:rsidRPr="00CA7654">
        <w:rPr>
          <w:sz w:val="18"/>
          <w:szCs w:val="18"/>
        </w:rPr>
        <w:t xml:space="preserve"> </w:t>
      </w:r>
      <w:r w:rsidRPr="00CA7654">
        <w:rPr>
          <w:rFonts w:cs="Tahoma"/>
          <w:bCs/>
          <w:sz w:val="18"/>
          <w:szCs w:val="18"/>
          <w:lang w:val="en-GB"/>
        </w:rPr>
        <w:t xml:space="preserve">Under the amended 2016 </w:t>
      </w:r>
      <w:r w:rsidRPr="002A3CE8">
        <w:rPr>
          <w:rFonts w:cs="Tahoma"/>
          <w:bCs/>
          <w:i/>
          <w:iCs/>
          <w:sz w:val="18"/>
          <w:szCs w:val="18"/>
          <w:lang w:val="en-GB"/>
        </w:rPr>
        <w:t>de facto</w:t>
      </w:r>
      <w:r w:rsidRPr="00CA7654">
        <w:rPr>
          <w:rFonts w:cs="Tahoma"/>
          <w:bCs/>
          <w:sz w:val="18"/>
          <w:szCs w:val="18"/>
          <w:lang w:val="en-GB"/>
        </w:rPr>
        <w:t xml:space="preserve"> “Law on the Legal Status of Foreigners in Abkhazia”.</w:t>
      </w:r>
    </w:p>
  </w:footnote>
  <w:footnote w:id="13">
    <w:p w14:paraId="737B01AD" w14:textId="2CDCCA17" w:rsidR="00BC41B2" w:rsidRPr="0012547E" w:rsidRDefault="00BC41B2">
      <w:pPr>
        <w:pStyle w:val="FootnoteText"/>
      </w:pPr>
      <w:r>
        <w:rPr>
          <w:rStyle w:val="FootnoteReference"/>
        </w:rPr>
        <w:footnoteRef/>
      </w:r>
      <w:r>
        <w:t xml:space="preserve"> </w:t>
      </w:r>
      <w:r w:rsidRPr="00CA7654">
        <w:rPr>
          <w:sz w:val="18"/>
          <w:szCs w:val="18"/>
        </w:rPr>
        <w:t xml:space="preserve">There are currently </w:t>
      </w:r>
      <w:r w:rsidRPr="009B5DB4">
        <w:rPr>
          <w:sz w:val="18"/>
          <w:szCs w:val="18"/>
        </w:rPr>
        <w:t>25 children</w:t>
      </w:r>
      <w:r w:rsidRPr="00CA7654">
        <w:rPr>
          <w:sz w:val="18"/>
          <w:szCs w:val="18"/>
        </w:rPr>
        <w:t xml:space="preserve"> crossing the A</w:t>
      </w:r>
      <w:r>
        <w:rPr>
          <w:sz w:val="18"/>
          <w:szCs w:val="18"/>
        </w:rPr>
        <w:t>dministrative Boundary Line</w:t>
      </w:r>
      <w:r w:rsidRPr="00CA7654">
        <w:rPr>
          <w:sz w:val="18"/>
          <w:szCs w:val="18"/>
        </w:rPr>
        <w:t xml:space="preserve"> on a daily basis, compared to 39 in 2016.</w:t>
      </w:r>
      <w:r>
        <w:t xml:space="preserve"> </w:t>
      </w:r>
    </w:p>
  </w:footnote>
  <w:footnote w:id="14">
    <w:p w14:paraId="471938BF" w14:textId="056E6270" w:rsidR="00BC41B2" w:rsidRDefault="00BC41B2">
      <w:pPr>
        <w:pStyle w:val="FootnoteText"/>
        <w:rPr>
          <w:sz w:val="18"/>
          <w:szCs w:val="18"/>
        </w:rPr>
      </w:pPr>
      <w:r>
        <w:rPr>
          <w:rStyle w:val="FootnoteReference"/>
        </w:rPr>
        <w:footnoteRef/>
      </w:r>
      <w:r>
        <w:t xml:space="preserve"> </w:t>
      </w:r>
      <w:r w:rsidRPr="009B5DB4">
        <w:rPr>
          <w:sz w:val="18"/>
          <w:szCs w:val="18"/>
        </w:rPr>
        <w:t>Statement of the Co-Chairs of the Geneva International Discussions,</w:t>
      </w:r>
      <w:r>
        <w:rPr>
          <w:sz w:val="18"/>
          <w:szCs w:val="18"/>
        </w:rPr>
        <w:t xml:space="preserve"> 15 September 2019.</w:t>
      </w:r>
    </w:p>
    <w:p w14:paraId="76C32359" w14:textId="465B5D21" w:rsidR="00BC41B2" w:rsidRPr="009B5DB4" w:rsidRDefault="00AC7854">
      <w:pPr>
        <w:pStyle w:val="FootnoteText"/>
        <w:rPr>
          <w:sz w:val="18"/>
          <w:szCs w:val="18"/>
        </w:rPr>
      </w:pPr>
      <w:hyperlink r:id="rId5" w:history="1">
        <w:r w:rsidR="00BC41B2" w:rsidRPr="009B5DB4">
          <w:rPr>
            <w:rStyle w:val="Hyperlink"/>
            <w:sz w:val="18"/>
            <w:szCs w:val="18"/>
          </w:rPr>
          <w:t>https://www.osce.org/what/conflict-prevention/430031</w:t>
        </w:r>
      </w:hyperlink>
    </w:p>
  </w:footnote>
  <w:footnote w:id="15">
    <w:p w14:paraId="3B02BD09" w14:textId="62F8D6F9" w:rsidR="00BC41B2" w:rsidRPr="009B5DB4" w:rsidRDefault="00BC41B2">
      <w:pPr>
        <w:pStyle w:val="FootnoteText"/>
        <w:rPr>
          <w:sz w:val="18"/>
          <w:szCs w:val="18"/>
        </w:rPr>
      </w:pPr>
      <w:r>
        <w:rPr>
          <w:rStyle w:val="FootnoteReference"/>
        </w:rPr>
        <w:footnoteRef/>
      </w:r>
      <w:r>
        <w:t xml:space="preserve"> </w:t>
      </w:r>
      <w:r w:rsidRPr="009B5DB4">
        <w:rPr>
          <w:sz w:val="18"/>
          <w:szCs w:val="18"/>
        </w:rPr>
        <w:t xml:space="preserve">Statement of the Co-Chairs of the Geneva International Discussions, </w:t>
      </w:r>
      <w:r>
        <w:rPr>
          <w:sz w:val="18"/>
          <w:szCs w:val="18"/>
        </w:rPr>
        <w:t xml:space="preserve">6 November 2019. </w:t>
      </w:r>
      <w:hyperlink r:id="rId6" w:history="1">
        <w:r w:rsidRPr="009B5DB4">
          <w:rPr>
            <w:rStyle w:val="Hyperlink"/>
            <w:sz w:val="18"/>
            <w:szCs w:val="18"/>
          </w:rPr>
          <w:t>https://www.osce.org/chairmanship/438179</w:t>
        </w:r>
      </w:hyperlink>
    </w:p>
  </w:footnote>
  <w:footnote w:id="16">
    <w:p w14:paraId="21605C7B" w14:textId="468BFB26" w:rsidR="00BC41B2" w:rsidRPr="00CA7654" w:rsidRDefault="00BC41B2" w:rsidP="00CA7654">
      <w:pPr>
        <w:jc w:val="both"/>
        <w:rPr>
          <w:rFonts w:cs="Tahoma"/>
          <w:bCs/>
          <w:sz w:val="18"/>
          <w:szCs w:val="18"/>
          <w:lang w:val="en-GB"/>
        </w:rPr>
      </w:pPr>
      <w:r w:rsidRPr="00CA7654">
        <w:rPr>
          <w:rStyle w:val="FootnoteReference"/>
          <w:sz w:val="18"/>
          <w:szCs w:val="18"/>
        </w:rPr>
        <w:footnoteRef/>
      </w:r>
      <w:r w:rsidRPr="00CA7654">
        <w:rPr>
          <w:sz w:val="18"/>
          <w:szCs w:val="18"/>
        </w:rPr>
        <w:t xml:space="preserve"> To be noted, </w:t>
      </w:r>
      <w:r w:rsidRPr="00706883">
        <w:rPr>
          <w:rFonts w:cs="Tahoma"/>
          <w:bCs/>
          <w:sz w:val="18"/>
          <w:szCs w:val="18"/>
          <w:lang w:val="en-GB"/>
        </w:rPr>
        <w:t>m</w:t>
      </w:r>
      <w:r w:rsidRPr="00CA7654">
        <w:rPr>
          <w:rFonts w:cs="Tahoma"/>
          <w:bCs/>
          <w:sz w:val="18"/>
          <w:szCs w:val="18"/>
          <w:lang w:val="en-GB"/>
        </w:rPr>
        <w:t>edical evacuations continue to be facilitated by the ICRC</w:t>
      </w:r>
      <w:r w:rsidRPr="00706883">
        <w:rPr>
          <w:rFonts w:cs="Tahoma"/>
          <w:bCs/>
          <w:sz w:val="18"/>
          <w:szCs w:val="18"/>
          <w:lang w:val="en-GB"/>
        </w:rPr>
        <w:t xml:space="preserve"> at the Ergneti crossing point, with around</w:t>
      </w:r>
      <w:r w:rsidRPr="00CA7654">
        <w:rPr>
          <w:rFonts w:cs="Tahoma"/>
          <w:bCs/>
          <w:sz w:val="18"/>
          <w:szCs w:val="18"/>
          <w:lang w:val="en-GB"/>
        </w:rPr>
        <w:t xml:space="preserve"> two cases per week. </w:t>
      </w:r>
    </w:p>
  </w:footnote>
  <w:footnote w:id="17">
    <w:p w14:paraId="2D1CE3F2" w14:textId="01EDF805" w:rsidR="00BC41B2" w:rsidRPr="00CA7654" w:rsidRDefault="00BC41B2" w:rsidP="00CA7654">
      <w:pPr>
        <w:jc w:val="both"/>
        <w:rPr>
          <w:rFonts w:cs="Tahoma"/>
          <w:bCs/>
          <w:sz w:val="18"/>
          <w:szCs w:val="18"/>
          <w:lang w:val="en-GB"/>
        </w:rPr>
      </w:pPr>
      <w:r w:rsidRPr="00CA7654">
        <w:rPr>
          <w:rStyle w:val="FootnoteReference"/>
          <w:sz w:val="18"/>
          <w:szCs w:val="18"/>
        </w:rPr>
        <w:footnoteRef/>
      </w:r>
      <w:r w:rsidRPr="00CA7654">
        <w:rPr>
          <w:sz w:val="18"/>
          <w:szCs w:val="18"/>
        </w:rPr>
        <w:t xml:space="preserve"> </w:t>
      </w:r>
      <w:r w:rsidRPr="00CA7654">
        <w:rPr>
          <w:rFonts w:cs="Tahoma"/>
          <w:bCs/>
          <w:sz w:val="18"/>
          <w:szCs w:val="18"/>
          <w:lang w:val="en-GB"/>
        </w:rPr>
        <w:t xml:space="preserve">It is reported that a total of 30 schoolchildren study in grades 1-4 in the six schools. </w:t>
      </w:r>
    </w:p>
  </w:footnote>
  <w:footnote w:id="18">
    <w:p w14:paraId="0FC6D960" w14:textId="034F2B8E" w:rsidR="00BC41B2" w:rsidRPr="00CA7654" w:rsidRDefault="00BC41B2">
      <w:pPr>
        <w:pStyle w:val="FootnoteText"/>
        <w:jc w:val="both"/>
        <w:rPr>
          <w:sz w:val="18"/>
          <w:szCs w:val="18"/>
        </w:rPr>
      </w:pPr>
      <w:r w:rsidRPr="00CA7654">
        <w:rPr>
          <w:rStyle w:val="FootnoteReference"/>
          <w:sz w:val="18"/>
          <w:szCs w:val="18"/>
        </w:rPr>
        <w:footnoteRef/>
      </w:r>
      <w:r w:rsidRPr="00CA7654">
        <w:rPr>
          <w:sz w:val="18"/>
          <w:szCs w:val="18"/>
        </w:rPr>
        <w:t xml:space="preserve"> </w:t>
      </w:r>
      <w:r w:rsidRPr="00706883">
        <w:rPr>
          <w:sz w:val="18"/>
          <w:szCs w:val="18"/>
          <w:lang w:val="en-GB"/>
        </w:rPr>
        <w:t>According to the information provided by the Ministry of Internally Displaced Persons from the Occupied Territories, Labour, Health and Social Affairs of Georgia, 28</w:t>
      </w:r>
      <w:r>
        <w:rPr>
          <w:sz w:val="18"/>
          <w:szCs w:val="18"/>
          <w:lang w:val="en-GB"/>
        </w:rPr>
        <w:t>6</w:t>
      </w:r>
      <w:r w:rsidRPr="00706883">
        <w:rPr>
          <w:sz w:val="18"/>
          <w:szCs w:val="18"/>
          <w:lang w:val="en-GB"/>
        </w:rPr>
        <w:t>,</w:t>
      </w:r>
      <w:r>
        <w:rPr>
          <w:sz w:val="18"/>
          <w:szCs w:val="18"/>
          <w:lang w:val="en-GB"/>
        </w:rPr>
        <w:t>193</w:t>
      </w:r>
      <w:r w:rsidRPr="00706883">
        <w:rPr>
          <w:sz w:val="18"/>
          <w:szCs w:val="18"/>
          <w:lang w:val="en-GB"/>
        </w:rPr>
        <w:t xml:space="preserve"> persons (90,354 families) are officially registered with IDP status as of </w:t>
      </w:r>
      <w:r>
        <w:rPr>
          <w:sz w:val="18"/>
          <w:szCs w:val="18"/>
          <w:lang w:val="en-GB"/>
        </w:rPr>
        <w:t>January 2020</w:t>
      </w:r>
      <w:r w:rsidRPr="00706883">
        <w:rPr>
          <w:sz w:val="18"/>
          <w:szCs w:val="18"/>
          <w:lang w:val="en-GB"/>
        </w:rPr>
        <w:t xml:space="preserve">. </w:t>
      </w:r>
    </w:p>
  </w:footnote>
  <w:footnote w:id="19">
    <w:p w14:paraId="6FCC9A4F" w14:textId="1715182C" w:rsidR="00BC41B2" w:rsidRPr="00CA7654" w:rsidRDefault="00BC41B2">
      <w:pPr>
        <w:pStyle w:val="FootnoteText"/>
        <w:rPr>
          <w:sz w:val="18"/>
          <w:szCs w:val="18"/>
        </w:rPr>
      </w:pPr>
      <w:r w:rsidRPr="00CA7654">
        <w:rPr>
          <w:rStyle w:val="FootnoteReference"/>
          <w:sz w:val="18"/>
          <w:szCs w:val="18"/>
        </w:rPr>
        <w:footnoteRef/>
      </w:r>
      <w:r w:rsidRPr="00CA7654">
        <w:rPr>
          <w:sz w:val="18"/>
          <w:szCs w:val="18"/>
        </w:rPr>
        <w:t xml:space="preserve"> Resolution 2325 (2020). Text adopted by the Assembly on 30 January 2020 (8th Sitting).</w:t>
      </w:r>
    </w:p>
  </w:footnote>
  <w:footnote w:id="20">
    <w:p w14:paraId="7F25AF9B" w14:textId="2456C1B6" w:rsidR="00BC41B2" w:rsidRPr="00CA7654" w:rsidRDefault="00BC41B2">
      <w:pPr>
        <w:pStyle w:val="FootnoteText"/>
        <w:rPr>
          <w:sz w:val="18"/>
          <w:szCs w:val="18"/>
          <w:lang w:val="fr-FR"/>
        </w:rPr>
      </w:pPr>
      <w:r w:rsidRPr="00CA7654">
        <w:rPr>
          <w:rStyle w:val="FootnoteReference"/>
          <w:sz w:val="18"/>
          <w:szCs w:val="18"/>
        </w:rPr>
        <w:footnoteRef/>
      </w:r>
      <w:r w:rsidRPr="00CA7654">
        <w:rPr>
          <w:sz w:val="18"/>
          <w:szCs w:val="18"/>
        </w:rPr>
        <w:t xml:space="preserve"> </w:t>
      </w:r>
      <w:r>
        <w:rPr>
          <w:sz w:val="18"/>
          <w:szCs w:val="18"/>
        </w:rPr>
        <w:t xml:space="preserve">The </w:t>
      </w:r>
      <w:r w:rsidRPr="00CA7654">
        <w:rPr>
          <w:sz w:val="18"/>
          <w:szCs w:val="18"/>
          <w:lang w:val="fr-FR"/>
        </w:rPr>
        <w:t xml:space="preserve">Congress, CG37(2019)09final.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D988E" w14:textId="77777777" w:rsidR="00BC41B2" w:rsidRPr="008F28CD" w:rsidRDefault="00BC41B2" w:rsidP="004A7D10">
    <w:pPr>
      <w:pStyle w:val="Header"/>
      <w:framePr w:wrap="around" w:vAnchor="text" w:hAnchor="margin" w:xAlign="center" w:y="1"/>
      <w:rPr>
        <w:rStyle w:val="PageNumber"/>
        <w:rFonts w:cs="Tahoma"/>
        <w:sz w:val="20"/>
        <w:szCs w:val="20"/>
      </w:rPr>
    </w:pPr>
    <w:r w:rsidRPr="008F28CD">
      <w:rPr>
        <w:rStyle w:val="PageNumber"/>
        <w:rFonts w:cs="Tahoma"/>
        <w:sz w:val="20"/>
        <w:szCs w:val="20"/>
      </w:rPr>
      <w:fldChar w:fldCharType="begin"/>
    </w:r>
    <w:r w:rsidRPr="008F28CD">
      <w:rPr>
        <w:rStyle w:val="PageNumber"/>
        <w:rFonts w:cs="Tahoma"/>
        <w:sz w:val="20"/>
        <w:szCs w:val="20"/>
      </w:rPr>
      <w:instrText xml:space="preserve">PAGE  </w:instrText>
    </w:r>
    <w:r w:rsidRPr="008F28CD">
      <w:rPr>
        <w:rStyle w:val="PageNumber"/>
        <w:rFonts w:cs="Tahoma"/>
        <w:sz w:val="20"/>
        <w:szCs w:val="20"/>
      </w:rPr>
      <w:fldChar w:fldCharType="separate"/>
    </w:r>
    <w:r>
      <w:rPr>
        <w:rStyle w:val="PageNumber"/>
        <w:rFonts w:cs="Tahoma"/>
        <w:noProof/>
        <w:sz w:val="20"/>
        <w:szCs w:val="20"/>
      </w:rPr>
      <w:t>14</w:t>
    </w:r>
    <w:r w:rsidRPr="008F28CD">
      <w:rPr>
        <w:rStyle w:val="PageNumber"/>
        <w:rFonts w:cs="Tahoma"/>
        <w:sz w:val="20"/>
        <w:szCs w:val="20"/>
      </w:rPr>
      <w:fldChar w:fldCharType="end"/>
    </w:r>
  </w:p>
  <w:p w14:paraId="07823F34" w14:textId="77777777" w:rsidR="00BC41B2" w:rsidRDefault="00BC41B2" w:rsidP="004A7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0823B" w14:textId="77777777" w:rsidR="00BC41B2" w:rsidRPr="0058560A" w:rsidRDefault="00BC41B2" w:rsidP="004A7D10">
    <w:pPr>
      <w:pStyle w:val="Header"/>
      <w:framePr w:wrap="around" w:vAnchor="text" w:hAnchor="margin" w:xAlign="center" w:y="1"/>
      <w:rPr>
        <w:rStyle w:val="PageNumber"/>
        <w:rFonts w:cs="Tahoma"/>
        <w:sz w:val="20"/>
        <w:szCs w:val="20"/>
      </w:rPr>
    </w:pPr>
    <w:r w:rsidRPr="0058560A">
      <w:rPr>
        <w:rStyle w:val="PageNumber"/>
        <w:rFonts w:cs="Tahoma"/>
        <w:sz w:val="20"/>
        <w:szCs w:val="20"/>
      </w:rPr>
      <w:fldChar w:fldCharType="begin"/>
    </w:r>
    <w:r w:rsidRPr="0058560A">
      <w:rPr>
        <w:rStyle w:val="PageNumber"/>
        <w:rFonts w:cs="Tahoma"/>
        <w:sz w:val="20"/>
        <w:szCs w:val="20"/>
      </w:rPr>
      <w:instrText xml:space="preserve">PAGE  </w:instrText>
    </w:r>
    <w:r w:rsidRPr="0058560A">
      <w:rPr>
        <w:rStyle w:val="PageNumber"/>
        <w:rFonts w:cs="Tahoma"/>
        <w:sz w:val="20"/>
        <w:szCs w:val="20"/>
      </w:rPr>
      <w:fldChar w:fldCharType="separate"/>
    </w:r>
    <w:r>
      <w:rPr>
        <w:rStyle w:val="PageNumber"/>
        <w:rFonts w:cs="Tahoma"/>
        <w:noProof/>
        <w:sz w:val="20"/>
        <w:szCs w:val="20"/>
      </w:rPr>
      <w:t>15</w:t>
    </w:r>
    <w:r w:rsidRPr="0058560A">
      <w:rPr>
        <w:rStyle w:val="PageNumber"/>
        <w:rFonts w:cs="Tahoma"/>
        <w:sz w:val="20"/>
        <w:szCs w:val="20"/>
      </w:rPr>
      <w:fldChar w:fldCharType="end"/>
    </w:r>
  </w:p>
  <w:p w14:paraId="21D0B7E9" w14:textId="77777777" w:rsidR="00BC41B2" w:rsidRPr="0058560A" w:rsidRDefault="00BC41B2" w:rsidP="00335D4F">
    <w:pPr>
      <w:pStyle w:val="Header"/>
      <w:jc w:val="right"/>
      <w:rPr>
        <w:rFonts w:cs="Tahom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D68C9" w14:textId="77777777" w:rsidR="00BC41B2" w:rsidRDefault="00BC41B2" w:rsidP="0007286C">
    <w:pPr>
      <w:pStyle w:val="Header"/>
      <w:jc w:val="right"/>
    </w:pPr>
    <w:r w:rsidRPr="00C022C8">
      <w:rPr>
        <w:noProof/>
      </w:rPr>
      <w:drawing>
        <wp:inline distT="0" distB="0" distL="0" distR="0" wp14:anchorId="6D916617" wp14:editId="7E0662A8">
          <wp:extent cx="1585595" cy="1264920"/>
          <wp:effectExtent l="0" t="0" r="0" b="0"/>
          <wp:docPr id="2" name="Picture 2" descr="bb17a17e-5308-4fc0-929d-5c4baf3ab99d?t=1371222816000?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17a17e-5308-4fc0-929d-5c4baf3ab99d?t=1371222816000?t=1371222816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1264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639"/>
    <w:multiLevelType w:val="hybridMultilevel"/>
    <w:tmpl w:val="4CF02706"/>
    <w:lvl w:ilvl="0" w:tplc="99EA371A">
      <w:start w:val="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87AED"/>
    <w:multiLevelType w:val="hybridMultilevel"/>
    <w:tmpl w:val="0DFCE7FA"/>
    <w:lvl w:ilvl="0" w:tplc="C41629CE">
      <w:start w:val="4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A4E08"/>
    <w:multiLevelType w:val="hybridMultilevel"/>
    <w:tmpl w:val="6FE2AB04"/>
    <w:lvl w:ilvl="0" w:tplc="0409000F">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E7A7E"/>
    <w:multiLevelType w:val="hybridMultilevel"/>
    <w:tmpl w:val="85B4B582"/>
    <w:lvl w:ilvl="0" w:tplc="836A134E">
      <w:start w:val="59"/>
      <w:numFmt w:val="decimal"/>
      <w:lvlText w:val="%1."/>
      <w:lvlJc w:val="left"/>
      <w:pPr>
        <w:tabs>
          <w:tab w:val="num" w:pos="2340"/>
        </w:tabs>
        <w:ind w:left="234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9D3DF0"/>
    <w:multiLevelType w:val="hybridMultilevel"/>
    <w:tmpl w:val="AAB20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F0471"/>
    <w:multiLevelType w:val="hybridMultilevel"/>
    <w:tmpl w:val="424260F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F2755"/>
    <w:multiLevelType w:val="hybridMultilevel"/>
    <w:tmpl w:val="768687B0"/>
    <w:lvl w:ilvl="0" w:tplc="A96875EA">
      <w:start w:val="1"/>
      <w:numFmt w:val="decimal"/>
      <w:lvlText w:val="%1."/>
      <w:lvlJc w:val="left"/>
      <w:pPr>
        <w:tabs>
          <w:tab w:val="num" w:pos="360"/>
        </w:tabs>
        <w:ind w:left="360" w:hanging="360"/>
      </w:pPr>
      <w:rPr>
        <w:rFonts w:ascii="Tahoma" w:hAnsi="Tahoma" w:hint="default"/>
        <w:i w:val="0"/>
        <w:color w:val="auto"/>
        <w:sz w:val="22"/>
        <w:szCs w:val="22"/>
      </w:rPr>
    </w:lvl>
    <w:lvl w:ilvl="1" w:tplc="8E5621A0">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F167723"/>
    <w:multiLevelType w:val="hybridMultilevel"/>
    <w:tmpl w:val="8A404D40"/>
    <w:lvl w:ilvl="0" w:tplc="07E4EFA8">
      <w:start w:val="58"/>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834685"/>
    <w:multiLevelType w:val="hybridMultilevel"/>
    <w:tmpl w:val="E0E0A3F6"/>
    <w:lvl w:ilvl="0" w:tplc="2B3A9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860B5"/>
    <w:multiLevelType w:val="hybridMultilevel"/>
    <w:tmpl w:val="90A8F3C8"/>
    <w:lvl w:ilvl="0" w:tplc="52F29FC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68713D"/>
    <w:multiLevelType w:val="hybridMultilevel"/>
    <w:tmpl w:val="148CC652"/>
    <w:lvl w:ilvl="0" w:tplc="29A4FC04">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E51A2E"/>
    <w:multiLevelType w:val="hybridMultilevel"/>
    <w:tmpl w:val="C05E4DB6"/>
    <w:lvl w:ilvl="0" w:tplc="0409000F">
      <w:start w:val="5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AB2BAE"/>
    <w:multiLevelType w:val="multilevel"/>
    <w:tmpl w:val="AE3A7482"/>
    <w:lvl w:ilvl="0">
      <w:start w:val="8"/>
      <w:numFmt w:val="decimal"/>
      <w:lvlText w:val="%1."/>
      <w:lvlJc w:val="left"/>
      <w:pPr>
        <w:tabs>
          <w:tab w:val="num" w:pos="1800"/>
        </w:tabs>
        <w:ind w:left="1800" w:hanging="360"/>
      </w:pPr>
      <w:rPr>
        <w:rFonts w:hint="default"/>
      </w:rPr>
    </w:lvl>
    <w:lvl w:ilvl="1">
      <w:start w:val="13"/>
      <w:numFmt w:val="decimal"/>
      <w:lvlText w:val="%2."/>
      <w:lvlJc w:val="left"/>
      <w:pPr>
        <w:tabs>
          <w:tab w:val="num" w:pos="720"/>
        </w:tabs>
        <w:ind w:left="720" w:hanging="360"/>
      </w:pPr>
      <w:rPr>
        <w:rFonts w:hint="default"/>
        <w:i w:val="0"/>
        <w:iCs w:val="0"/>
        <w:color w:val="000000"/>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D6E302F"/>
    <w:multiLevelType w:val="hybridMultilevel"/>
    <w:tmpl w:val="E8B4DD36"/>
    <w:lvl w:ilvl="0" w:tplc="741E398A">
      <w:start w:val="4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976C52"/>
    <w:multiLevelType w:val="hybridMultilevel"/>
    <w:tmpl w:val="9FEEDC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F57150E"/>
    <w:multiLevelType w:val="hybridMultilevel"/>
    <w:tmpl w:val="A6BAD8A2"/>
    <w:lvl w:ilvl="0" w:tplc="416EA6A2">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545D7E"/>
    <w:multiLevelType w:val="hybridMultilevel"/>
    <w:tmpl w:val="CE10B40A"/>
    <w:lvl w:ilvl="0" w:tplc="256E381E">
      <w:start w:val="3"/>
      <w:numFmt w:val="low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FF0CDA"/>
    <w:multiLevelType w:val="hybridMultilevel"/>
    <w:tmpl w:val="DC16D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A19B2"/>
    <w:multiLevelType w:val="hybridMultilevel"/>
    <w:tmpl w:val="3000E636"/>
    <w:lvl w:ilvl="0" w:tplc="50D45E6A">
      <w:start w:val="16"/>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FB0618"/>
    <w:multiLevelType w:val="hybridMultilevel"/>
    <w:tmpl w:val="9BAEEA92"/>
    <w:lvl w:ilvl="0" w:tplc="7CCAC9F4">
      <w:start w:val="68"/>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0D12F7"/>
    <w:multiLevelType w:val="hybridMultilevel"/>
    <w:tmpl w:val="C058A294"/>
    <w:lvl w:ilvl="0" w:tplc="4E6E47DE">
      <w:start w:val="1"/>
      <w:numFmt w:val="none"/>
      <w:lvlText w:val="20."/>
      <w:lvlJc w:val="left"/>
      <w:pPr>
        <w:tabs>
          <w:tab w:val="num" w:pos="1420"/>
        </w:tabs>
        <w:ind w:left="142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245482"/>
    <w:multiLevelType w:val="multilevel"/>
    <w:tmpl w:val="4922FCFA"/>
    <w:lvl w:ilvl="0">
      <w:start w:val="12"/>
      <w:numFmt w:val="decimal"/>
      <w:lvlText w:val="%1."/>
      <w:lvlJc w:val="left"/>
      <w:pPr>
        <w:tabs>
          <w:tab w:val="num" w:pos="1420"/>
        </w:tabs>
        <w:ind w:left="1420" w:hanging="340"/>
      </w:pPr>
      <w:rPr>
        <w:rFonts w:cs="Colonna MT"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683C56"/>
    <w:multiLevelType w:val="hybridMultilevel"/>
    <w:tmpl w:val="0A0E31EE"/>
    <w:lvl w:ilvl="0" w:tplc="28B623DA">
      <w:start w:val="1"/>
      <w:numFmt w:val="lowerRoman"/>
      <w:lvlText w:val="%1."/>
      <w:lvlJc w:val="left"/>
      <w:pPr>
        <w:tabs>
          <w:tab w:val="num" w:pos="1200"/>
        </w:tabs>
        <w:ind w:left="1200" w:hanging="720"/>
      </w:pPr>
      <w:rPr>
        <w:rFonts w:hint="default"/>
        <w:b w:val="0"/>
        <w:i w:val="0"/>
        <w:color w:val="000000"/>
        <w:u w:val="none"/>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3" w15:restartNumberingAfterBreak="0">
    <w:nsid w:val="437B76D1"/>
    <w:multiLevelType w:val="hybridMultilevel"/>
    <w:tmpl w:val="CC66161C"/>
    <w:lvl w:ilvl="0" w:tplc="7CCAC9F4">
      <w:start w:val="68"/>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B53CA6"/>
    <w:multiLevelType w:val="multilevel"/>
    <w:tmpl w:val="EB3C0456"/>
    <w:lvl w:ilvl="0">
      <w:start w:val="4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4C85CDC"/>
    <w:multiLevelType w:val="hybridMultilevel"/>
    <w:tmpl w:val="4922FCFA"/>
    <w:lvl w:ilvl="0" w:tplc="68CA644E">
      <w:start w:val="12"/>
      <w:numFmt w:val="decimal"/>
      <w:lvlText w:val="%1."/>
      <w:lvlJc w:val="left"/>
      <w:pPr>
        <w:tabs>
          <w:tab w:val="num" w:pos="1420"/>
        </w:tabs>
        <w:ind w:left="1420" w:hanging="340"/>
      </w:pPr>
      <w:rPr>
        <w:rFonts w:cs="Colonna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D52FF8"/>
    <w:multiLevelType w:val="multilevel"/>
    <w:tmpl w:val="F350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255A8E"/>
    <w:multiLevelType w:val="hybridMultilevel"/>
    <w:tmpl w:val="4F5E5C6A"/>
    <w:lvl w:ilvl="0" w:tplc="17DE07D2">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790F49"/>
    <w:multiLevelType w:val="multilevel"/>
    <w:tmpl w:val="3000E636"/>
    <w:lvl w:ilvl="0">
      <w:start w:val="16"/>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D3A6BF7"/>
    <w:multiLevelType w:val="hybridMultilevel"/>
    <w:tmpl w:val="9EC0C616"/>
    <w:lvl w:ilvl="0" w:tplc="B3FA0F48">
      <w:start w:val="40"/>
      <w:numFmt w:val="decimal"/>
      <w:lvlText w:val="%1."/>
      <w:lvlJc w:val="left"/>
      <w:pPr>
        <w:tabs>
          <w:tab w:val="num" w:pos="360"/>
        </w:tabs>
        <w:ind w:left="360" w:hanging="360"/>
      </w:pPr>
      <w:rPr>
        <w:rFonts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16F661D"/>
    <w:multiLevelType w:val="hybridMultilevel"/>
    <w:tmpl w:val="63B233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8044D59"/>
    <w:multiLevelType w:val="hybridMultilevel"/>
    <w:tmpl w:val="2652996C"/>
    <w:lvl w:ilvl="0" w:tplc="AA400C9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150BCB"/>
    <w:multiLevelType w:val="multilevel"/>
    <w:tmpl w:val="414C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AE181D"/>
    <w:multiLevelType w:val="hybridMultilevel"/>
    <w:tmpl w:val="5C7EDA9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BA2F3B"/>
    <w:multiLevelType w:val="multilevel"/>
    <w:tmpl w:val="AE3A7482"/>
    <w:lvl w:ilvl="0">
      <w:start w:val="8"/>
      <w:numFmt w:val="decimal"/>
      <w:lvlText w:val="%1."/>
      <w:lvlJc w:val="left"/>
      <w:pPr>
        <w:tabs>
          <w:tab w:val="num" w:pos="360"/>
        </w:tabs>
        <w:ind w:left="360" w:hanging="360"/>
      </w:pPr>
      <w:rPr>
        <w:rFonts w:hint="default"/>
      </w:rPr>
    </w:lvl>
    <w:lvl w:ilvl="1">
      <w:start w:val="13"/>
      <w:numFmt w:val="decimal"/>
      <w:lvlText w:val="%2."/>
      <w:lvlJc w:val="left"/>
      <w:pPr>
        <w:tabs>
          <w:tab w:val="num" w:pos="-900"/>
        </w:tabs>
        <w:ind w:left="-900" w:hanging="360"/>
      </w:pPr>
      <w:rPr>
        <w:rFonts w:hint="default"/>
        <w:i w:val="0"/>
        <w:iCs w:val="0"/>
        <w:color w:val="000000"/>
      </w:rPr>
    </w:lvl>
    <w:lvl w:ilvl="2">
      <w:start w:val="1"/>
      <w:numFmt w:val="bullet"/>
      <w:lvlText w:val=""/>
      <w:lvlJc w:val="left"/>
      <w:pPr>
        <w:tabs>
          <w:tab w:val="num" w:pos="900"/>
        </w:tabs>
        <w:ind w:left="90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5" w15:restartNumberingAfterBreak="0">
    <w:nsid w:val="6B142863"/>
    <w:multiLevelType w:val="hybridMultilevel"/>
    <w:tmpl w:val="43AA65CA"/>
    <w:lvl w:ilvl="0" w:tplc="74B24D4A">
      <w:start w:val="8"/>
      <w:numFmt w:val="decimal"/>
      <w:lvlText w:val="%1."/>
      <w:lvlJc w:val="left"/>
      <w:pPr>
        <w:tabs>
          <w:tab w:val="num" w:pos="1080"/>
        </w:tabs>
        <w:ind w:left="1080" w:hanging="360"/>
      </w:pPr>
      <w:rPr>
        <w:rFonts w:hint="default"/>
        <w:i w:val="0"/>
      </w:rPr>
    </w:lvl>
    <w:lvl w:ilvl="1" w:tplc="23A4A328">
      <w:start w:val="13"/>
      <w:numFmt w:val="decimal"/>
      <w:lvlText w:val="%2."/>
      <w:lvlJc w:val="left"/>
      <w:pPr>
        <w:tabs>
          <w:tab w:val="num" w:pos="-180"/>
        </w:tabs>
        <w:ind w:left="-180" w:hanging="360"/>
      </w:pPr>
      <w:rPr>
        <w:rFonts w:hint="default"/>
        <w:i w:val="0"/>
        <w:iCs w:val="0"/>
        <w:color w:val="000000"/>
      </w:rPr>
    </w:lvl>
    <w:lvl w:ilvl="2" w:tplc="0409000B">
      <w:start w:val="1"/>
      <w:numFmt w:val="bullet"/>
      <w:lvlText w:val=""/>
      <w:lvlJc w:val="left"/>
      <w:pPr>
        <w:tabs>
          <w:tab w:val="num" w:pos="1620"/>
        </w:tabs>
        <w:ind w:left="1620" w:hanging="360"/>
      </w:pPr>
      <w:rPr>
        <w:rFonts w:ascii="Wingdings" w:hAnsi="Wingding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15:restartNumberingAfterBreak="0">
    <w:nsid w:val="6B5F5C3F"/>
    <w:multiLevelType w:val="multilevel"/>
    <w:tmpl w:val="D60AEF4A"/>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3596303"/>
    <w:multiLevelType w:val="hybridMultilevel"/>
    <w:tmpl w:val="5E0451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5D7D59"/>
    <w:multiLevelType w:val="hybridMultilevel"/>
    <w:tmpl w:val="2E946E3A"/>
    <w:lvl w:ilvl="0" w:tplc="E7FAF29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44959E7"/>
    <w:multiLevelType w:val="multilevel"/>
    <w:tmpl w:val="148CC652"/>
    <w:lvl w:ilvl="0">
      <w:start w:val="8"/>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AE44EDF"/>
    <w:multiLevelType w:val="hybridMultilevel"/>
    <w:tmpl w:val="118C6A9A"/>
    <w:lvl w:ilvl="0" w:tplc="18420F0E">
      <w:start w:val="1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54687F"/>
    <w:multiLevelType w:val="hybridMultilevel"/>
    <w:tmpl w:val="3E409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9"/>
  </w:num>
  <w:num w:numId="3">
    <w:abstractNumId w:val="16"/>
  </w:num>
  <w:num w:numId="4">
    <w:abstractNumId w:val="22"/>
  </w:num>
  <w:num w:numId="5">
    <w:abstractNumId w:val="6"/>
  </w:num>
  <w:num w:numId="6">
    <w:abstractNumId w:val="35"/>
  </w:num>
  <w:num w:numId="7">
    <w:abstractNumId w:val="3"/>
  </w:num>
  <w:num w:numId="8">
    <w:abstractNumId w:val="33"/>
  </w:num>
  <w:num w:numId="9">
    <w:abstractNumId w:val="37"/>
  </w:num>
  <w:num w:numId="10">
    <w:abstractNumId w:val="7"/>
  </w:num>
  <w:num w:numId="11">
    <w:abstractNumId w:val="12"/>
  </w:num>
  <w:num w:numId="12">
    <w:abstractNumId w:val="18"/>
  </w:num>
  <w:num w:numId="13">
    <w:abstractNumId w:val="34"/>
  </w:num>
  <w:num w:numId="14">
    <w:abstractNumId w:val="40"/>
  </w:num>
  <w:num w:numId="15">
    <w:abstractNumId w:val="28"/>
  </w:num>
  <w:num w:numId="16">
    <w:abstractNumId w:val="15"/>
  </w:num>
  <w:num w:numId="17">
    <w:abstractNumId w:val="36"/>
  </w:num>
  <w:num w:numId="18">
    <w:abstractNumId w:val="29"/>
  </w:num>
  <w:num w:numId="19">
    <w:abstractNumId w:val="24"/>
  </w:num>
  <w:num w:numId="20">
    <w:abstractNumId w:val="20"/>
  </w:num>
  <w:num w:numId="21">
    <w:abstractNumId w:val="10"/>
  </w:num>
  <w:num w:numId="22">
    <w:abstractNumId w:val="39"/>
  </w:num>
  <w:num w:numId="23">
    <w:abstractNumId w:val="0"/>
  </w:num>
  <w:num w:numId="24">
    <w:abstractNumId w:val="25"/>
  </w:num>
  <w:num w:numId="25">
    <w:abstractNumId w:val="21"/>
  </w:num>
  <w:num w:numId="26">
    <w:abstractNumId w:val="32"/>
  </w:num>
  <w:num w:numId="27">
    <w:abstractNumId w:val="5"/>
  </w:num>
  <w:num w:numId="28">
    <w:abstractNumId w:val="4"/>
  </w:num>
  <w:num w:numId="29">
    <w:abstractNumId w:val="27"/>
  </w:num>
  <w:num w:numId="30">
    <w:abstractNumId w:val="26"/>
  </w:num>
  <w:num w:numId="31">
    <w:abstractNumId w:val="13"/>
  </w:num>
  <w:num w:numId="32">
    <w:abstractNumId w:val="1"/>
  </w:num>
  <w:num w:numId="33">
    <w:abstractNumId w:val="19"/>
  </w:num>
  <w:num w:numId="34">
    <w:abstractNumId w:val="8"/>
  </w:num>
  <w:num w:numId="35">
    <w:abstractNumId w:val="23"/>
  </w:num>
  <w:num w:numId="36">
    <w:abstractNumId w:val="41"/>
  </w:num>
  <w:num w:numId="37">
    <w:abstractNumId w:val="11"/>
  </w:num>
  <w:num w:numId="38">
    <w:abstractNumId w:val="2"/>
  </w:num>
  <w:num w:numId="3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8"/>
    </w:lvlOverride>
    <w:lvlOverride w:ilvl="1">
      <w:startOverride w:val="1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3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88"/>
    <w:rsid w:val="00000D9C"/>
    <w:rsid w:val="00001BED"/>
    <w:rsid w:val="0000209F"/>
    <w:rsid w:val="00002177"/>
    <w:rsid w:val="000023FC"/>
    <w:rsid w:val="0000289E"/>
    <w:rsid w:val="00004DF1"/>
    <w:rsid w:val="00005179"/>
    <w:rsid w:val="000055E3"/>
    <w:rsid w:val="00005693"/>
    <w:rsid w:val="00006827"/>
    <w:rsid w:val="00007568"/>
    <w:rsid w:val="000135D0"/>
    <w:rsid w:val="00016A05"/>
    <w:rsid w:val="000171CF"/>
    <w:rsid w:val="00022C5E"/>
    <w:rsid w:val="00023662"/>
    <w:rsid w:val="00024146"/>
    <w:rsid w:val="00025E4E"/>
    <w:rsid w:val="00026C47"/>
    <w:rsid w:val="00027B0C"/>
    <w:rsid w:val="000307EF"/>
    <w:rsid w:val="0003110D"/>
    <w:rsid w:val="00031591"/>
    <w:rsid w:val="00033E30"/>
    <w:rsid w:val="00034959"/>
    <w:rsid w:val="000358F4"/>
    <w:rsid w:val="00035A11"/>
    <w:rsid w:val="00035A9C"/>
    <w:rsid w:val="00035B13"/>
    <w:rsid w:val="00037030"/>
    <w:rsid w:val="00037273"/>
    <w:rsid w:val="0003741D"/>
    <w:rsid w:val="00037685"/>
    <w:rsid w:val="00037DFF"/>
    <w:rsid w:val="0004185D"/>
    <w:rsid w:val="00041D6C"/>
    <w:rsid w:val="000421E2"/>
    <w:rsid w:val="0004268C"/>
    <w:rsid w:val="00042989"/>
    <w:rsid w:val="00042F02"/>
    <w:rsid w:val="00045416"/>
    <w:rsid w:val="00045A8B"/>
    <w:rsid w:val="00046453"/>
    <w:rsid w:val="000507B1"/>
    <w:rsid w:val="00050AE2"/>
    <w:rsid w:val="00051C1D"/>
    <w:rsid w:val="00052947"/>
    <w:rsid w:val="00052E57"/>
    <w:rsid w:val="000532C1"/>
    <w:rsid w:val="00053CE3"/>
    <w:rsid w:val="00054B9A"/>
    <w:rsid w:val="0005560E"/>
    <w:rsid w:val="000557E3"/>
    <w:rsid w:val="00056A8C"/>
    <w:rsid w:val="00057990"/>
    <w:rsid w:val="000614FF"/>
    <w:rsid w:val="00061881"/>
    <w:rsid w:val="00061CE5"/>
    <w:rsid w:val="00061D24"/>
    <w:rsid w:val="000620BE"/>
    <w:rsid w:val="00062ACB"/>
    <w:rsid w:val="00063F17"/>
    <w:rsid w:val="00066731"/>
    <w:rsid w:val="00067927"/>
    <w:rsid w:val="000707DF"/>
    <w:rsid w:val="00071759"/>
    <w:rsid w:val="00071DD7"/>
    <w:rsid w:val="000722F6"/>
    <w:rsid w:val="0007286C"/>
    <w:rsid w:val="00074749"/>
    <w:rsid w:val="00077205"/>
    <w:rsid w:val="00080CEC"/>
    <w:rsid w:val="0008209B"/>
    <w:rsid w:val="00082244"/>
    <w:rsid w:val="00082762"/>
    <w:rsid w:val="00082ABA"/>
    <w:rsid w:val="00083C04"/>
    <w:rsid w:val="00084285"/>
    <w:rsid w:val="00084D87"/>
    <w:rsid w:val="00085366"/>
    <w:rsid w:val="0008537C"/>
    <w:rsid w:val="00085420"/>
    <w:rsid w:val="00085837"/>
    <w:rsid w:val="00085A60"/>
    <w:rsid w:val="000911E5"/>
    <w:rsid w:val="00094240"/>
    <w:rsid w:val="00094EF7"/>
    <w:rsid w:val="00094FD8"/>
    <w:rsid w:val="000962AD"/>
    <w:rsid w:val="00096B02"/>
    <w:rsid w:val="00096FFB"/>
    <w:rsid w:val="000A0294"/>
    <w:rsid w:val="000A06A4"/>
    <w:rsid w:val="000A12FE"/>
    <w:rsid w:val="000A3090"/>
    <w:rsid w:val="000A32D5"/>
    <w:rsid w:val="000A496B"/>
    <w:rsid w:val="000A5A90"/>
    <w:rsid w:val="000A7334"/>
    <w:rsid w:val="000A7650"/>
    <w:rsid w:val="000B0812"/>
    <w:rsid w:val="000B153F"/>
    <w:rsid w:val="000B32AD"/>
    <w:rsid w:val="000B43E5"/>
    <w:rsid w:val="000B4C2A"/>
    <w:rsid w:val="000B676A"/>
    <w:rsid w:val="000B727C"/>
    <w:rsid w:val="000C1BC5"/>
    <w:rsid w:val="000C36C5"/>
    <w:rsid w:val="000C3D8C"/>
    <w:rsid w:val="000C45A5"/>
    <w:rsid w:val="000C48D7"/>
    <w:rsid w:val="000C5449"/>
    <w:rsid w:val="000C6B96"/>
    <w:rsid w:val="000C6FE9"/>
    <w:rsid w:val="000C7BCB"/>
    <w:rsid w:val="000D0E1D"/>
    <w:rsid w:val="000D162A"/>
    <w:rsid w:val="000D1BF7"/>
    <w:rsid w:val="000D1E23"/>
    <w:rsid w:val="000D2F20"/>
    <w:rsid w:val="000D352C"/>
    <w:rsid w:val="000D3EB0"/>
    <w:rsid w:val="000D5FCF"/>
    <w:rsid w:val="000D75E3"/>
    <w:rsid w:val="000D7B41"/>
    <w:rsid w:val="000E0E50"/>
    <w:rsid w:val="000E3299"/>
    <w:rsid w:val="000E3EB9"/>
    <w:rsid w:val="000E3ED2"/>
    <w:rsid w:val="000E552D"/>
    <w:rsid w:val="000E637F"/>
    <w:rsid w:val="000F1A9F"/>
    <w:rsid w:val="000F2E86"/>
    <w:rsid w:val="000F3549"/>
    <w:rsid w:val="000F3E1B"/>
    <w:rsid w:val="000F4F4C"/>
    <w:rsid w:val="000F51CC"/>
    <w:rsid w:val="000F5E3C"/>
    <w:rsid w:val="000F6D1F"/>
    <w:rsid w:val="000F7E03"/>
    <w:rsid w:val="001006BC"/>
    <w:rsid w:val="00100D09"/>
    <w:rsid w:val="00102173"/>
    <w:rsid w:val="00102FA6"/>
    <w:rsid w:val="001047EE"/>
    <w:rsid w:val="00104E47"/>
    <w:rsid w:val="0010631A"/>
    <w:rsid w:val="001073DE"/>
    <w:rsid w:val="00110EFD"/>
    <w:rsid w:val="001130D9"/>
    <w:rsid w:val="00115498"/>
    <w:rsid w:val="001159DA"/>
    <w:rsid w:val="00115CB1"/>
    <w:rsid w:val="00117828"/>
    <w:rsid w:val="00120818"/>
    <w:rsid w:val="00120B85"/>
    <w:rsid w:val="00120E87"/>
    <w:rsid w:val="0012127C"/>
    <w:rsid w:val="001213F4"/>
    <w:rsid w:val="00121BE2"/>
    <w:rsid w:val="00121E3C"/>
    <w:rsid w:val="00122964"/>
    <w:rsid w:val="00122995"/>
    <w:rsid w:val="001237C3"/>
    <w:rsid w:val="00123B31"/>
    <w:rsid w:val="001240D9"/>
    <w:rsid w:val="00124C0A"/>
    <w:rsid w:val="0012547E"/>
    <w:rsid w:val="0012773A"/>
    <w:rsid w:val="001302C0"/>
    <w:rsid w:val="00131E92"/>
    <w:rsid w:val="00133D5D"/>
    <w:rsid w:val="00134647"/>
    <w:rsid w:val="0013506B"/>
    <w:rsid w:val="00135354"/>
    <w:rsid w:val="0013695C"/>
    <w:rsid w:val="00137C15"/>
    <w:rsid w:val="00140460"/>
    <w:rsid w:val="00141693"/>
    <w:rsid w:val="00142488"/>
    <w:rsid w:val="001424E1"/>
    <w:rsid w:val="00142882"/>
    <w:rsid w:val="0014290B"/>
    <w:rsid w:val="00143E7A"/>
    <w:rsid w:val="00146BC0"/>
    <w:rsid w:val="00147047"/>
    <w:rsid w:val="00150060"/>
    <w:rsid w:val="00150DCF"/>
    <w:rsid w:val="00152040"/>
    <w:rsid w:val="00153315"/>
    <w:rsid w:val="0015348A"/>
    <w:rsid w:val="00156C53"/>
    <w:rsid w:val="0015709F"/>
    <w:rsid w:val="0015751E"/>
    <w:rsid w:val="001606E3"/>
    <w:rsid w:val="001606FA"/>
    <w:rsid w:val="00160C68"/>
    <w:rsid w:val="00161712"/>
    <w:rsid w:val="001627A7"/>
    <w:rsid w:val="00162837"/>
    <w:rsid w:val="0016334D"/>
    <w:rsid w:val="00163C6A"/>
    <w:rsid w:val="00163D97"/>
    <w:rsid w:val="00165B0F"/>
    <w:rsid w:val="0016626A"/>
    <w:rsid w:val="001673E1"/>
    <w:rsid w:val="00170A70"/>
    <w:rsid w:val="00171405"/>
    <w:rsid w:val="00171E1C"/>
    <w:rsid w:val="00171FCA"/>
    <w:rsid w:val="001720A7"/>
    <w:rsid w:val="0017284A"/>
    <w:rsid w:val="001736B7"/>
    <w:rsid w:val="0017472C"/>
    <w:rsid w:val="00175832"/>
    <w:rsid w:val="00176285"/>
    <w:rsid w:val="0017631A"/>
    <w:rsid w:val="00181A7B"/>
    <w:rsid w:val="00183EAE"/>
    <w:rsid w:val="001855EA"/>
    <w:rsid w:val="00186891"/>
    <w:rsid w:val="00186907"/>
    <w:rsid w:val="00187653"/>
    <w:rsid w:val="001905BD"/>
    <w:rsid w:val="001910AA"/>
    <w:rsid w:val="00191B7E"/>
    <w:rsid w:val="00192067"/>
    <w:rsid w:val="00192C14"/>
    <w:rsid w:val="001933E8"/>
    <w:rsid w:val="001936C6"/>
    <w:rsid w:val="00193E51"/>
    <w:rsid w:val="00194FC5"/>
    <w:rsid w:val="001969B6"/>
    <w:rsid w:val="0019794A"/>
    <w:rsid w:val="00197ADD"/>
    <w:rsid w:val="001A03BA"/>
    <w:rsid w:val="001A1F9A"/>
    <w:rsid w:val="001A218A"/>
    <w:rsid w:val="001A3E01"/>
    <w:rsid w:val="001A7415"/>
    <w:rsid w:val="001B0246"/>
    <w:rsid w:val="001B0711"/>
    <w:rsid w:val="001B18C4"/>
    <w:rsid w:val="001B25E0"/>
    <w:rsid w:val="001B3DB5"/>
    <w:rsid w:val="001B4E8F"/>
    <w:rsid w:val="001B57FC"/>
    <w:rsid w:val="001B5E32"/>
    <w:rsid w:val="001C078B"/>
    <w:rsid w:val="001C18EF"/>
    <w:rsid w:val="001C1F83"/>
    <w:rsid w:val="001C2219"/>
    <w:rsid w:val="001C38D4"/>
    <w:rsid w:val="001C4526"/>
    <w:rsid w:val="001C45D7"/>
    <w:rsid w:val="001C4DF0"/>
    <w:rsid w:val="001C68AC"/>
    <w:rsid w:val="001C69AB"/>
    <w:rsid w:val="001C71DF"/>
    <w:rsid w:val="001C7484"/>
    <w:rsid w:val="001C799B"/>
    <w:rsid w:val="001D24D2"/>
    <w:rsid w:val="001D4CD4"/>
    <w:rsid w:val="001D58CE"/>
    <w:rsid w:val="001D5C12"/>
    <w:rsid w:val="001D6852"/>
    <w:rsid w:val="001D7D6F"/>
    <w:rsid w:val="001D7DEE"/>
    <w:rsid w:val="001E02D3"/>
    <w:rsid w:val="001E1E7C"/>
    <w:rsid w:val="001E2116"/>
    <w:rsid w:val="001E27DA"/>
    <w:rsid w:val="001E2E6E"/>
    <w:rsid w:val="001E3941"/>
    <w:rsid w:val="001E47D6"/>
    <w:rsid w:val="001E6CAA"/>
    <w:rsid w:val="001E7189"/>
    <w:rsid w:val="001E7DE8"/>
    <w:rsid w:val="001F1152"/>
    <w:rsid w:val="001F1CD5"/>
    <w:rsid w:val="001F1F32"/>
    <w:rsid w:val="001F50BB"/>
    <w:rsid w:val="001F5251"/>
    <w:rsid w:val="001F72B1"/>
    <w:rsid w:val="001F7DAA"/>
    <w:rsid w:val="00200F39"/>
    <w:rsid w:val="002012DC"/>
    <w:rsid w:val="0020131E"/>
    <w:rsid w:val="002022B2"/>
    <w:rsid w:val="002030D5"/>
    <w:rsid w:val="00203ADA"/>
    <w:rsid w:val="00203E16"/>
    <w:rsid w:val="002044B6"/>
    <w:rsid w:val="00204FEA"/>
    <w:rsid w:val="002051E7"/>
    <w:rsid w:val="0020563F"/>
    <w:rsid w:val="00205923"/>
    <w:rsid w:val="00205BCA"/>
    <w:rsid w:val="0020683D"/>
    <w:rsid w:val="0020725D"/>
    <w:rsid w:val="00210894"/>
    <w:rsid w:val="0021225A"/>
    <w:rsid w:val="00214672"/>
    <w:rsid w:val="0021536C"/>
    <w:rsid w:val="00216B35"/>
    <w:rsid w:val="00217805"/>
    <w:rsid w:val="0021780F"/>
    <w:rsid w:val="002179D0"/>
    <w:rsid w:val="00217B00"/>
    <w:rsid w:val="00220988"/>
    <w:rsid w:val="00221DF8"/>
    <w:rsid w:val="00221F3B"/>
    <w:rsid w:val="002227B3"/>
    <w:rsid w:val="002233DB"/>
    <w:rsid w:val="002249AB"/>
    <w:rsid w:val="00224F84"/>
    <w:rsid w:val="002251D5"/>
    <w:rsid w:val="0022570A"/>
    <w:rsid w:val="0022670F"/>
    <w:rsid w:val="00227573"/>
    <w:rsid w:val="00230DF8"/>
    <w:rsid w:val="00231426"/>
    <w:rsid w:val="00232A5F"/>
    <w:rsid w:val="0023562D"/>
    <w:rsid w:val="0023605A"/>
    <w:rsid w:val="00236457"/>
    <w:rsid w:val="00236917"/>
    <w:rsid w:val="00240F0D"/>
    <w:rsid w:val="00241F2E"/>
    <w:rsid w:val="002428FF"/>
    <w:rsid w:val="00243ACE"/>
    <w:rsid w:val="00244423"/>
    <w:rsid w:val="002445D1"/>
    <w:rsid w:val="002449C4"/>
    <w:rsid w:val="00244AE6"/>
    <w:rsid w:val="002461D7"/>
    <w:rsid w:val="00246E1B"/>
    <w:rsid w:val="002478B4"/>
    <w:rsid w:val="00250533"/>
    <w:rsid w:val="00250969"/>
    <w:rsid w:val="0025228A"/>
    <w:rsid w:val="00252650"/>
    <w:rsid w:val="00252938"/>
    <w:rsid w:val="00252AD7"/>
    <w:rsid w:val="00257030"/>
    <w:rsid w:val="00260862"/>
    <w:rsid w:val="00260C00"/>
    <w:rsid w:val="00261908"/>
    <w:rsid w:val="00261B80"/>
    <w:rsid w:val="002623D6"/>
    <w:rsid w:val="002623EB"/>
    <w:rsid w:val="00263386"/>
    <w:rsid w:val="002633BD"/>
    <w:rsid w:val="00266AD1"/>
    <w:rsid w:val="00270A7B"/>
    <w:rsid w:val="00270BDD"/>
    <w:rsid w:val="00271858"/>
    <w:rsid w:val="00271B2A"/>
    <w:rsid w:val="00272808"/>
    <w:rsid w:val="0027282C"/>
    <w:rsid w:val="0027300A"/>
    <w:rsid w:val="00275061"/>
    <w:rsid w:val="00277B06"/>
    <w:rsid w:val="00280060"/>
    <w:rsid w:val="002852F7"/>
    <w:rsid w:val="002865B6"/>
    <w:rsid w:val="002871A1"/>
    <w:rsid w:val="00287B8A"/>
    <w:rsid w:val="00297222"/>
    <w:rsid w:val="00297BF7"/>
    <w:rsid w:val="002A0037"/>
    <w:rsid w:val="002A0AF6"/>
    <w:rsid w:val="002A1176"/>
    <w:rsid w:val="002A17C1"/>
    <w:rsid w:val="002A1B48"/>
    <w:rsid w:val="002A1C5B"/>
    <w:rsid w:val="002A28C2"/>
    <w:rsid w:val="002A33FE"/>
    <w:rsid w:val="002A3CE8"/>
    <w:rsid w:val="002A5401"/>
    <w:rsid w:val="002A5DF3"/>
    <w:rsid w:val="002A791F"/>
    <w:rsid w:val="002A7C2E"/>
    <w:rsid w:val="002A7D66"/>
    <w:rsid w:val="002B0232"/>
    <w:rsid w:val="002B7B90"/>
    <w:rsid w:val="002C024E"/>
    <w:rsid w:val="002C0EC9"/>
    <w:rsid w:val="002C1CC0"/>
    <w:rsid w:val="002C2ABF"/>
    <w:rsid w:val="002C4B7C"/>
    <w:rsid w:val="002C56F9"/>
    <w:rsid w:val="002C5731"/>
    <w:rsid w:val="002C6FFA"/>
    <w:rsid w:val="002C75BC"/>
    <w:rsid w:val="002C7EC0"/>
    <w:rsid w:val="002D1B8E"/>
    <w:rsid w:val="002D1E05"/>
    <w:rsid w:val="002D30DB"/>
    <w:rsid w:val="002D43D0"/>
    <w:rsid w:val="002D6DAE"/>
    <w:rsid w:val="002D7B8B"/>
    <w:rsid w:val="002E0AB7"/>
    <w:rsid w:val="002E11E3"/>
    <w:rsid w:val="002E1457"/>
    <w:rsid w:val="002E2FB7"/>
    <w:rsid w:val="002E452C"/>
    <w:rsid w:val="002E4849"/>
    <w:rsid w:val="002E4F34"/>
    <w:rsid w:val="002E611E"/>
    <w:rsid w:val="002E69FD"/>
    <w:rsid w:val="002E6BDB"/>
    <w:rsid w:val="002F1704"/>
    <w:rsid w:val="002F2F33"/>
    <w:rsid w:val="002F3EDF"/>
    <w:rsid w:val="002F453A"/>
    <w:rsid w:val="002F6135"/>
    <w:rsid w:val="002F6329"/>
    <w:rsid w:val="002F6B16"/>
    <w:rsid w:val="002F79FA"/>
    <w:rsid w:val="00300163"/>
    <w:rsid w:val="0030180B"/>
    <w:rsid w:val="003047A1"/>
    <w:rsid w:val="00304A30"/>
    <w:rsid w:val="00305603"/>
    <w:rsid w:val="0030601D"/>
    <w:rsid w:val="00306B88"/>
    <w:rsid w:val="003100C4"/>
    <w:rsid w:val="003113CB"/>
    <w:rsid w:val="00312002"/>
    <w:rsid w:val="00313093"/>
    <w:rsid w:val="00313E5A"/>
    <w:rsid w:val="00316795"/>
    <w:rsid w:val="00316BBC"/>
    <w:rsid w:val="003204FD"/>
    <w:rsid w:val="00321107"/>
    <w:rsid w:val="003215F3"/>
    <w:rsid w:val="003221EE"/>
    <w:rsid w:val="003233D4"/>
    <w:rsid w:val="0032389B"/>
    <w:rsid w:val="00324A9F"/>
    <w:rsid w:val="0032536F"/>
    <w:rsid w:val="00326324"/>
    <w:rsid w:val="00326950"/>
    <w:rsid w:val="00326F64"/>
    <w:rsid w:val="003331CA"/>
    <w:rsid w:val="0033333B"/>
    <w:rsid w:val="003337E5"/>
    <w:rsid w:val="00335486"/>
    <w:rsid w:val="003359F3"/>
    <w:rsid w:val="00335D4F"/>
    <w:rsid w:val="003361FA"/>
    <w:rsid w:val="00336641"/>
    <w:rsid w:val="00336E45"/>
    <w:rsid w:val="00340E5A"/>
    <w:rsid w:val="00341178"/>
    <w:rsid w:val="003423A1"/>
    <w:rsid w:val="003425D0"/>
    <w:rsid w:val="0034260B"/>
    <w:rsid w:val="003432F4"/>
    <w:rsid w:val="003449BB"/>
    <w:rsid w:val="00346C90"/>
    <w:rsid w:val="00346DEA"/>
    <w:rsid w:val="003478CA"/>
    <w:rsid w:val="0035072B"/>
    <w:rsid w:val="00354029"/>
    <w:rsid w:val="003546DC"/>
    <w:rsid w:val="00355ABC"/>
    <w:rsid w:val="00355EB5"/>
    <w:rsid w:val="00357B9D"/>
    <w:rsid w:val="00357C8B"/>
    <w:rsid w:val="00361D95"/>
    <w:rsid w:val="00362BC4"/>
    <w:rsid w:val="00365076"/>
    <w:rsid w:val="00365D5B"/>
    <w:rsid w:val="003672B9"/>
    <w:rsid w:val="00367E5C"/>
    <w:rsid w:val="00372133"/>
    <w:rsid w:val="003729EB"/>
    <w:rsid w:val="003734A8"/>
    <w:rsid w:val="00374353"/>
    <w:rsid w:val="00374691"/>
    <w:rsid w:val="003756F0"/>
    <w:rsid w:val="00376E04"/>
    <w:rsid w:val="00377477"/>
    <w:rsid w:val="003777BE"/>
    <w:rsid w:val="00377AD8"/>
    <w:rsid w:val="00380B0B"/>
    <w:rsid w:val="0038145A"/>
    <w:rsid w:val="00382CD8"/>
    <w:rsid w:val="003832B3"/>
    <w:rsid w:val="00386BFA"/>
    <w:rsid w:val="003878C0"/>
    <w:rsid w:val="00387E87"/>
    <w:rsid w:val="0039037E"/>
    <w:rsid w:val="003904B1"/>
    <w:rsid w:val="00392225"/>
    <w:rsid w:val="003935B1"/>
    <w:rsid w:val="00394404"/>
    <w:rsid w:val="003974E2"/>
    <w:rsid w:val="0039797F"/>
    <w:rsid w:val="003A1808"/>
    <w:rsid w:val="003A30C3"/>
    <w:rsid w:val="003A3A49"/>
    <w:rsid w:val="003A421C"/>
    <w:rsid w:val="003A59FD"/>
    <w:rsid w:val="003A6A4E"/>
    <w:rsid w:val="003A76B3"/>
    <w:rsid w:val="003A7B38"/>
    <w:rsid w:val="003A7C8B"/>
    <w:rsid w:val="003B25E3"/>
    <w:rsid w:val="003B2762"/>
    <w:rsid w:val="003B43F8"/>
    <w:rsid w:val="003B4DF1"/>
    <w:rsid w:val="003B5DE4"/>
    <w:rsid w:val="003B606B"/>
    <w:rsid w:val="003B7CB2"/>
    <w:rsid w:val="003C0808"/>
    <w:rsid w:val="003C09BC"/>
    <w:rsid w:val="003C23D1"/>
    <w:rsid w:val="003C274B"/>
    <w:rsid w:val="003C4476"/>
    <w:rsid w:val="003C44E6"/>
    <w:rsid w:val="003D0955"/>
    <w:rsid w:val="003D193B"/>
    <w:rsid w:val="003D5FEA"/>
    <w:rsid w:val="003D64C1"/>
    <w:rsid w:val="003D6DF6"/>
    <w:rsid w:val="003E0867"/>
    <w:rsid w:val="003E1CEC"/>
    <w:rsid w:val="003E1F6D"/>
    <w:rsid w:val="003E3034"/>
    <w:rsid w:val="003E3375"/>
    <w:rsid w:val="003E483A"/>
    <w:rsid w:val="003E550D"/>
    <w:rsid w:val="003E5840"/>
    <w:rsid w:val="003E6F1C"/>
    <w:rsid w:val="003E7C57"/>
    <w:rsid w:val="003F0A85"/>
    <w:rsid w:val="003F0C9E"/>
    <w:rsid w:val="003F365A"/>
    <w:rsid w:val="003F370C"/>
    <w:rsid w:val="003F6157"/>
    <w:rsid w:val="003F69B1"/>
    <w:rsid w:val="0040014F"/>
    <w:rsid w:val="004021BB"/>
    <w:rsid w:val="004022B0"/>
    <w:rsid w:val="00402D53"/>
    <w:rsid w:val="00403C80"/>
    <w:rsid w:val="00404591"/>
    <w:rsid w:val="00404C2E"/>
    <w:rsid w:val="004051C4"/>
    <w:rsid w:val="00405D02"/>
    <w:rsid w:val="004062E7"/>
    <w:rsid w:val="00410E41"/>
    <w:rsid w:val="00411335"/>
    <w:rsid w:val="004120C1"/>
    <w:rsid w:val="004124BB"/>
    <w:rsid w:val="0041378E"/>
    <w:rsid w:val="004147B8"/>
    <w:rsid w:val="0041761B"/>
    <w:rsid w:val="00420A2C"/>
    <w:rsid w:val="004210CE"/>
    <w:rsid w:val="00421784"/>
    <w:rsid w:val="00421D94"/>
    <w:rsid w:val="00422608"/>
    <w:rsid w:val="0042351B"/>
    <w:rsid w:val="00423A83"/>
    <w:rsid w:val="00424770"/>
    <w:rsid w:val="00424C95"/>
    <w:rsid w:val="0042583A"/>
    <w:rsid w:val="0042671E"/>
    <w:rsid w:val="00426E27"/>
    <w:rsid w:val="004273C8"/>
    <w:rsid w:val="004279CF"/>
    <w:rsid w:val="004301ED"/>
    <w:rsid w:val="00430510"/>
    <w:rsid w:val="004315FE"/>
    <w:rsid w:val="00433C93"/>
    <w:rsid w:val="00434709"/>
    <w:rsid w:val="00436531"/>
    <w:rsid w:val="00436ED6"/>
    <w:rsid w:val="00440FA3"/>
    <w:rsid w:val="00442347"/>
    <w:rsid w:val="00442384"/>
    <w:rsid w:val="0044365D"/>
    <w:rsid w:val="00445323"/>
    <w:rsid w:val="004464DD"/>
    <w:rsid w:val="004509A1"/>
    <w:rsid w:val="00451DCD"/>
    <w:rsid w:val="00451F7F"/>
    <w:rsid w:val="00452FFB"/>
    <w:rsid w:val="004531F8"/>
    <w:rsid w:val="00453D13"/>
    <w:rsid w:val="00454165"/>
    <w:rsid w:val="0045502C"/>
    <w:rsid w:val="00455DA3"/>
    <w:rsid w:val="004563F8"/>
    <w:rsid w:val="00456838"/>
    <w:rsid w:val="00456FA9"/>
    <w:rsid w:val="004578A5"/>
    <w:rsid w:val="00461E54"/>
    <w:rsid w:val="00463299"/>
    <w:rsid w:val="00466E33"/>
    <w:rsid w:val="00467916"/>
    <w:rsid w:val="00467A72"/>
    <w:rsid w:val="0047029D"/>
    <w:rsid w:val="00470678"/>
    <w:rsid w:val="00473383"/>
    <w:rsid w:val="00474541"/>
    <w:rsid w:val="00474F0A"/>
    <w:rsid w:val="004753DD"/>
    <w:rsid w:val="00476091"/>
    <w:rsid w:val="0047779A"/>
    <w:rsid w:val="004816C3"/>
    <w:rsid w:val="00481885"/>
    <w:rsid w:val="00481FAB"/>
    <w:rsid w:val="004821CF"/>
    <w:rsid w:val="00482297"/>
    <w:rsid w:val="004826C5"/>
    <w:rsid w:val="004828F3"/>
    <w:rsid w:val="00482E7F"/>
    <w:rsid w:val="00482F0A"/>
    <w:rsid w:val="00482FA6"/>
    <w:rsid w:val="00483E54"/>
    <w:rsid w:val="00484D17"/>
    <w:rsid w:val="00484E32"/>
    <w:rsid w:val="004853EA"/>
    <w:rsid w:val="0048639A"/>
    <w:rsid w:val="0048796D"/>
    <w:rsid w:val="004901DD"/>
    <w:rsid w:val="004925A8"/>
    <w:rsid w:val="00492706"/>
    <w:rsid w:val="004930A5"/>
    <w:rsid w:val="00493158"/>
    <w:rsid w:val="004956A2"/>
    <w:rsid w:val="0049609E"/>
    <w:rsid w:val="004A2C83"/>
    <w:rsid w:val="004A4164"/>
    <w:rsid w:val="004A5F9A"/>
    <w:rsid w:val="004A7CFD"/>
    <w:rsid w:val="004A7D10"/>
    <w:rsid w:val="004B1E16"/>
    <w:rsid w:val="004B214D"/>
    <w:rsid w:val="004B2B3A"/>
    <w:rsid w:val="004B361D"/>
    <w:rsid w:val="004B3999"/>
    <w:rsid w:val="004B4649"/>
    <w:rsid w:val="004B4D23"/>
    <w:rsid w:val="004B51A2"/>
    <w:rsid w:val="004B5D24"/>
    <w:rsid w:val="004B64E1"/>
    <w:rsid w:val="004B6616"/>
    <w:rsid w:val="004B78FE"/>
    <w:rsid w:val="004C082E"/>
    <w:rsid w:val="004C19A2"/>
    <w:rsid w:val="004C20BE"/>
    <w:rsid w:val="004C23EB"/>
    <w:rsid w:val="004C355D"/>
    <w:rsid w:val="004C3BE4"/>
    <w:rsid w:val="004C4D2E"/>
    <w:rsid w:val="004D048E"/>
    <w:rsid w:val="004D0EAC"/>
    <w:rsid w:val="004D12AA"/>
    <w:rsid w:val="004D201E"/>
    <w:rsid w:val="004D2814"/>
    <w:rsid w:val="004D2D1E"/>
    <w:rsid w:val="004D2EDE"/>
    <w:rsid w:val="004D38D4"/>
    <w:rsid w:val="004D563F"/>
    <w:rsid w:val="004D620C"/>
    <w:rsid w:val="004D6D74"/>
    <w:rsid w:val="004D7D87"/>
    <w:rsid w:val="004E1563"/>
    <w:rsid w:val="004E2F87"/>
    <w:rsid w:val="004E37D0"/>
    <w:rsid w:val="004E5FB4"/>
    <w:rsid w:val="004F0AD4"/>
    <w:rsid w:val="004F14D6"/>
    <w:rsid w:val="004F38CA"/>
    <w:rsid w:val="004F445A"/>
    <w:rsid w:val="004F639B"/>
    <w:rsid w:val="004F6C38"/>
    <w:rsid w:val="004F7649"/>
    <w:rsid w:val="00503F4F"/>
    <w:rsid w:val="00505E46"/>
    <w:rsid w:val="00506073"/>
    <w:rsid w:val="00507709"/>
    <w:rsid w:val="00507C4B"/>
    <w:rsid w:val="00507CCD"/>
    <w:rsid w:val="00510B7C"/>
    <w:rsid w:val="00511BDF"/>
    <w:rsid w:val="00511CC0"/>
    <w:rsid w:val="00512027"/>
    <w:rsid w:val="005122E4"/>
    <w:rsid w:val="00512702"/>
    <w:rsid w:val="005135FB"/>
    <w:rsid w:val="00515076"/>
    <w:rsid w:val="00516F2B"/>
    <w:rsid w:val="00516FDB"/>
    <w:rsid w:val="005172D1"/>
    <w:rsid w:val="00517B1B"/>
    <w:rsid w:val="00517B6D"/>
    <w:rsid w:val="00517DAD"/>
    <w:rsid w:val="00520E9F"/>
    <w:rsid w:val="00521639"/>
    <w:rsid w:val="00524B60"/>
    <w:rsid w:val="005260F6"/>
    <w:rsid w:val="005268AB"/>
    <w:rsid w:val="00527F7B"/>
    <w:rsid w:val="00530C7E"/>
    <w:rsid w:val="005327CB"/>
    <w:rsid w:val="00533707"/>
    <w:rsid w:val="0053636D"/>
    <w:rsid w:val="005366DB"/>
    <w:rsid w:val="0054044B"/>
    <w:rsid w:val="00540918"/>
    <w:rsid w:val="00540A08"/>
    <w:rsid w:val="005414B4"/>
    <w:rsid w:val="005416E0"/>
    <w:rsid w:val="00541A12"/>
    <w:rsid w:val="00545C63"/>
    <w:rsid w:val="00546803"/>
    <w:rsid w:val="0054714C"/>
    <w:rsid w:val="00553C6C"/>
    <w:rsid w:val="0055526B"/>
    <w:rsid w:val="005601B7"/>
    <w:rsid w:val="005607B4"/>
    <w:rsid w:val="00561D69"/>
    <w:rsid w:val="00561DB5"/>
    <w:rsid w:val="0056348F"/>
    <w:rsid w:val="005640B2"/>
    <w:rsid w:val="00565BC5"/>
    <w:rsid w:val="00566F35"/>
    <w:rsid w:val="005729CF"/>
    <w:rsid w:val="00572A9E"/>
    <w:rsid w:val="00572FCC"/>
    <w:rsid w:val="00574794"/>
    <w:rsid w:val="00577082"/>
    <w:rsid w:val="0057751F"/>
    <w:rsid w:val="005807DA"/>
    <w:rsid w:val="00581016"/>
    <w:rsid w:val="005813B2"/>
    <w:rsid w:val="00581832"/>
    <w:rsid w:val="0058365B"/>
    <w:rsid w:val="0058409B"/>
    <w:rsid w:val="00587AC0"/>
    <w:rsid w:val="005909E7"/>
    <w:rsid w:val="00590C4B"/>
    <w:rsid w:val="005928EB"/>
    <w:rsid w:val="00593A1C"/>
    <w:rsid w:val="00593D0F"/>
    <w:rsid w:val="00594307"/>
    <w:rsid w:val="005943F6"/>
    <w:rsid w:val="00594C31"/>
    <w:rsid w:val="00595624"/>
    <w:rsid w:val="00597168"/>
    <w:rsid w:val="0059722A"/>
    <w:rsid w:val="005A0A74"/>
    <w:rsid w:val="005A11D0"/>
    <w:rsid w:val="005A1E42"/>
    <w:rsid w:val="005A22C4"/>
    <w:rsid w:val="005A4CAF"/>
    <w:rsid w:val="005A548B"/>
    <w:rsid w:val="005A5793"/>
    <w:rsid w:val="005A7A2A"/>
    <w:rsid w:val="005B3817"/>
    <w:rsid w:val="005B5D87"/>
    <w:rsid w:val="005C15A9"/>
    <w:rsid w:val="005C2829"/>
    <w:rsid w:val="005C4990"/>
    <w:rsid w:val="005C4A8C"/>
    <w:rsid w:val="005C60D2"/>
    <w:rsid w:val="005C6285"/>
    <w:rsid w:val="005C6922"/>
    <w:rsid w:val="005C7599"/>
    <w:rsid w:val="005C7932"/>
    <w:rsid w:val="005D0B94"/>
    <w:rsid w:val="005D1503"/>
    <w:rsid w:val="005D25C3"/>
    <w:rsid w:val="005D41DF"/>
    <w:rsid w:val="005D4410"/>
    <w:rsid w:val="005E3C52"/>
    <w:rsid w:val="005E46B9"/>
    <w:rsid w:val="005E647F"/>
    <w:rsid w:val="005F1697"/>
    <w:rsid w:val="005F1977"/>
    <w:rsid w:val="005F2169"/>
    <w:rsid w:val="005F2C05"/>
    <w:rsid w:val="005F3065"/>
    <w:rsid w:val="005F3EE4"/>
    <w:rsid w:val="005F5476"/>
    <w:rsid w:val="005F6A17"/>
    <w:rsid w:val="005F7679"/>
    <w:rsid w:val="005F7797"/>
    <w:rsid w:val="005F793E"/>
    <w:rsid w:val="005F7F65"/>
    <w:rsid w:val="0060132F"/>
    <w:rsid w:val="00603A77"/>
    <w:rsid w:val="006047A5"/>
    <w:rsid w:val="0060498C"/>
    <w:rsid w:val="00604CFA"/>
    <w:rsid w:val="00605317"/>
    <w:rsid w:val="0060710E"/>
    <w:rsid w:val="00607E96"/>
    <w:rsid w:val="006103DD"/>
    <w:rsid w:val="00610433"/>
    <w:rsid w:val="006104AE"/>
    <w:rsid w:val="006111ED"/>
    <w:rsid w:val="00611243"/>
    <w:rsid w:val="00611D7C"/>
    <w:rsid w:val="00611F59"/>
    <w:rsid w:val="0061215E"/>
    <w:rsid w:val="00615DC4"/>
    <w:rsid w:val="0061646A"/>
    <w:rsid w:val="00616FF6"/>
    <w:rsid w:val="0061721C"/>
    <w:rsid w:val="00617E1F"/>
    <w:rsid w:val="006205BE"/>
    <w:rsid w:val="00621791"/>
    <w:rsid w:val="00621D1D"/>
    <w:rsid w:val="006225EF"/>
    <w:rsid w:val="0062327F"/>
    <w:rsid w:val="00623B73"/>
    <w:rsid w:val="0062519B"/>
    <w:rsid w:val="00633193"/>
    <w:rsid w:val="006333A4"/>
    <w:rsid w:val="006334C2"/>
    <w:rsid w:val="00634862"/>
    <w:rsid w:val="00635694"/>
    <w:rsid w:val="0063723E"/>
    <w:rsid w:val="00637312"/>
    <w:rsid w:val="00641514"/>
    <w:rsid w:val="00641931"/>
    <w:rsid w:val="0064234F"/>
    <w:rsid w:val="00642E56"/>
    <w:rsid w:val="00643314"/>
    <w:rsid w:val="00644796"/>
    <w:rsid w:val="00644973"/>
    <w:rsid w:val="00645BED"/>
    <w:rsid w:val="00646DD1"/>
    <w:rsid w:val="0065077D"/>
    <w:rsid w:val="00652269"/>
    <w:rsid w:val="0065272F"/>
    <w:rsid w:val="00655597"/>
    <w:rsid w:val="00656DDC"/>
    <w:rsid w:val="00657DAE"/>
    <w:rsid w:val="00657DBB"/>
    <w:rsid w:val="00657EBB"/>
    <w:rsid w:val="00662311"/>
    <w:rsid w:val="0066259E"/>
    <w:rsid w:val="00662BDC"/>
    <w:rsid w:val="0066435E"/>
    <w:rsid w:val="0066600B"/>
    <w:rsid w:val="00666DB4"/>
    <w:rsid w:val="006671FA"/>
    <w:rsid w:val="006708D4"/>
    <w:rsid w:val="00671B34"/>
    <w:rsid w:val="006720EF"/>
    <w:rsid w:val="006748DB"/>
    <w:rsid w:val="00675646"/>
    <w:rsid w:val="00676080"/>
    <w:rsid w:val="00676E09"/>
    <w:rsid w:val="0067790D"/>
    <w:rsid w:val="00677940"/>
    <w:rsid w:val="00677E1F"/>
    <w:rsid w:val="00681695"/>
    <w:rsid w:val="006828E3"/>
    <w:rsid w:val="0068394E"/>
    <w:rsid w:val="00684402"/>
    <w:rsid w:val="00685018"/>
    <w:rsid w:val="0068562C"/>
    <w:rsid w:val="00685EED"/>
    <w:rsid w:val="00686670"/>
    <w:rsid w:val="006872B3"/>
    <w:rsid w:val="0069129C"/>
    <w:rsid w:val="0069152D"/>
    <w:rsid w:val="0069159B"/>
    <w:rsid w:val="00692516"/>
    <w:rsid w:val="006948BD"/>
    <w:rsid w:val="006949AD"/>
    <w:rsid w:val="00695494"/>
    <w:rsid w:val="00695ADF"/>
    <w:rsid w:val="006965BB"/>
    <w:rsid w:val="00697463"/>
    <w:rsid w:val="006A2686"/>
    <w:rsid w:val="006A30E7"/>
    <w:rsid w:val="006A3777"/>
    <w:rsid w:val="006A4F58"/>
    <w:rsid w:val="006A5C82"/>
    <w:rsid w:val="006A5FDD"/>
    <w:rsid w:val="006A7BF1"/>
    <w:rsid w:val="006B0168"/>
    <w:rsid w:val="006B1138"/>
    <w:rsid w:val="006B12F9"/>
    <w:rsid w:val="006B1484"/>
    <w:rsid w:val="006B33E3"/>
    <w:rsid w:val="006B534E"/>
    <w:rsid w:val="006B5990"/>
    <w:rsid w:val="006B6ECA"/>
    <w:rsid w:val="006C0783"/>
    <w:rsid w:val="006C0CB7"/>
    <w:rsid w:val="006C0F25"/>
    <w:rsid w:val="006C21B6"/>
    <w:rsid w:val="006C40EB"/>
    <w:rsid w:val="006C4F8D"/>
    <w:rsid w:val="006C5D10"/>
    <w:rsid w:val="006C5D8E"/>
    <w:rsid w:val="006D1095"/>
    <w:rsid w:val="006D15E3"/>
    <w:rsid w:val="006D253A"/>
    <w:rsid w:val="006D2EF3"/>
    <w:rsid w:val="006D3F38"/>
    <w:rsid w:val="006D705E"/>
    <w:rsid w:val="006D7B83"/>
    <w:rsid w:val="006D7C8B"/>
    <w:rsid w:val="006E0E52"/>
    <w:rsid w:val="006E1734"/>
    <w:rsid w:val="006E2199"/>
    <w:rsid w:val="006E2202"/>
    <w:rsid w:val="006E43A0"/>
    <w:rsid w:val="006E49EE"/>
    <w:rsid w:val="006E54B6"/>
    <w:rsid w:val="006E5843"/>
    <w:rsid w:val="006E6032"/>
    <w:rsid w:val="006E7340"/>
    <w:rsid w:val="006F03E1"/>
    <w:rsid w:val="006F0F2E"/>
    <w:rsid w:val="006F15C9"/>
    <w:rsid w:val="006F1E42"/>
    <w:rsid w:val="006F2E6F"/>
    <w:rsid w:val="006F34AC"/>
    <w:rsid w:val="006F4055"/>
    <w:rsid w:val="006F4242"/>
    <w:rsid w:val="006F63AD"/>
    <w:rsid w:val="006F65ED"/>
    <w:rsid w:val="006F684C"/>
    <w:rsid w:val="006F6D72"/>
    <w:rsid w:val="007005D3"/>
    <w:rsid w:val="00701330"/>
    <w:rsid w:val="00701647"/>
    <w:rsid w:val="00701C9E"/>
    <w:rsid w:val="00702094"/>
    <w:rsid w:val="007022EC"/>
    <w:rsid w:val="0070298F"/>
    <w:rsid w:val="00702D59"/>
    <w:rsid w:val="00703161"/>
    <w:rsid w:val="007046E4"/>
    <w:rsid w:val="00704B11"/>
    <w:rsid w:val="0070574C"/>
    <w:rsid w:val="0070611D"/>
    <w:rsid w:val="007062BD"/>
    <w:rsid w:val="00706595"/>
    <w:rsid w:val="007065D6"/>
    <w:rsid w:val="00706883"/>
    <w:rsid w:val="00707EF0"/>
    <w:rsid w:val="00707F41"/>
    <w:rsid w:val="00710A72"/>
    <w:rsid w:val="00711FEA"/>
    <w:rsid w:val="00712524"/>
    <w:rsid w:val="00712567"/>
    <w:rsid w:val="00712EB6"/>
    <w:rsid w:val="00713B06"/>
    <w:rsid w:val="007154F6"/>
    <w:rsid w:val="007162D4"/>
    <w:rsid w:val="007175E3"/>
    <w:rsid w:val="007179F9"/>
    <w:rsid w:val="00717F5D"/>
    <w:rsid w:val="007209A0"/>
    <w:rsid w:val="00720E20"/>
    <w:rsid w:val="00723E30"/>
    <w:rsid w:val="00724259"/>
    <w:rsid w:val="00724300"/>
    <w:rsid w:val="007258EA"/>
    <w:rsid w:val="0072596A"/>
    <w:rsid w:val="00725FEB"/>
    <w:rsid w:val="00732062"/>
    <w:rsid w:val="0073580D"/>
    <w:rsid w:val="007366EA"/>
    <w:rsid w:val="00736741"/>
    <w:rsid w:val="00737D51"/>
    <w:rsid w:val="00740588"/>
    <w:rsid w:val="00740B76"/>
    <w:rsid w:val="007420EC"/>
    <w:rsid w:val="0074258F"/>
    <w:rsid w:val="00742A07"/>
    <w:rsid w:val="00743123"/>
    <w:rsid w:val="007436B7"/>
    <w:rsid w:val="00744B3F"/>
    <w:rsid w:val="00745393"/>
    <w:rsid w:val="00745684"/>
    <w:rsid w:val="00745F18"/>
    <w:rsid w:val="00747E78"/>
    <w:rsid w:val="007504BE"/>
    <w:rsid w:val="00751109"/>
    <w:rsid w:val="00751B2C"/>
    <w:rsid w:val="00752470"/>
    <w:rsid w:val="00752A30"/>
    <w:rsid w:val="007536FE"/>
    <w:rsid w:val="00753F17"/>
    <w:rsid w:val="007544A5"/>
    <w:rsid w:val="00756EE4"/>
    <w:rsid w:val="00760183"/>
    <w:rsid w:val="00760E99"/>
    <w:rsid w:val="007617D9"/>
    <w:rsid w:val="00762DE2"/>
    <w:rsid w:val="00762FD5"/>
    <w:rsid w:val="00763EDA"/>
    <w:rsid w:val="00763FE8"/>
    <w:rsid w:val="0076477E"/>
    <w:rsid w:val="00764A72"/>
    <w:rsid w:val="00765DF4"/>
    <w:rsid w:val="00766763"/>
    <w:rsid w:val="00767898"/>
    <w:rsid w:val="007719D2"/>
    <w:rsid w:val="007727B4"/>
    <w:rsid w:val="007733CD"/>
    <w:rsid w:val="00774961"/>
    <w:rsid w:val="00781194"/>
    <w:rsid w:val="007816E5"/>
    <w:rsid w:val="00781D88"/>
    <w:rsid w:val="0078299C"/>
    <w:rsid w:val="00782C5F"/>
    <w:rsid w:val="00786411"/>
    <w:rsid w:val="007873B4"/>
    <w:rsid w:val="007908BF"/>
    <w:rsid w:val="0079096C"/>
    <w:rsid w:val="00791816"/>
    <w:rsid w:val="0079392B"/>
    <w:rsid w:val="00794AFD"/>
    <w:rsid w:val="00797328"/>
    <w:rsid w:val="00797E34"/>
    <w:rsid w:val="007A0310"/>
    <w:rsid w:val="007A1036"/>
    <w:rsid w:val="007A216F"/>
    <w:rsid w:val="007A27A1"/>
    <w:rsid w:val="007A2FB8"/>
    <w:rsid w:val="007A4CBF"/>
    <w:rsid w:val="007A4E26"/>
    <w:rsid w:val="007A5879"/>
    <w:rsid w:val="007A6523"/>
    <w:rsid w:val="007A6554"/>
    <w:rsid w:val="007A7B28"/>
    <w:rsid w:val="007B0487"/>
    <w:rsid w:val="007B1B58"/>
    <w:rsid w:val="007B226A"/>
    <w:rsid w:val="007B267B"/>
    <w:rsid w:val="007B2C46"/>
    <w:rsid w:val="007B3DCF"/>
    <w:rsid w:val="007B442D"/>
    <w:rsid w:val="007B5140"/>
    <w:rsid w:val="007B5E9F"/>
    <w:rsid w:val="007C004B"/>
    <w:rsid w:val="007C0345"/>
    <w:rsid w:val="007C1FFE"/>
    <w:rsid w:val="007C24DB"/>
    <w:rsid w:val="007C2727"/>
    <w:rsid w:val="007C34A4"/>
    <w:rsid w:val="007C357B"/>
    <w:rsid w:val="007C3EDB"/>
    <w:rsid w:val="007C4003"/>
    <w:rsid w:val="007C6BE1"/>
    <w:rsid w:val="007C71C9"/>
    <w:rsid w:val="007C783C"/>
    <w:rsid w:val="007C7D8D"/>
    <w:rsid w:val="007D0201"/>
    <w:rsid w:val="007D036D"/>
    <w:rsid w:val="007D0DB8"/>
    <w:rsid w:val="007D1802"/>
    <w:rsid w:val="007D1DD8"/>
    <w:rsid w:val="007D2AA4"/>
    <w:rsid w:val="007D2F36"/>
    <w:rsid w:val="007D3F24"/>
    <w:rsid w:val="007D589C"/>
    <w:rsid w:val="007D5C73"/>
    <w:rsid w:val="007D5E8A"/>
    <w:rsid w:val="007D759A"/>
    <w:rsid w:val="007D781D"/>
    <w:rsid w:val="007E3286"/>
    <w:rsid w:val="007E53F0"/>
    <w:rsid w:val="007E7ADA"/>
    <w:rsid w:val="007E7D54"/>
    <w:rsid w:val="007F28F7"/>
    <w:rsid w:val="007F2B84"/>
    <w:rsid w:val="007F56FE"/>
    <w:rsid w:val="007F5866"/>
    <w:rsid w:val="008001BE"/>
    <w:rsid w:val="00800DFB"/>
    <w:rsid w:val="008014E8"/>
    <w:rsid w:val="00801D24"/>
    <w:rsid w:val="00803675"/>
    <w:rsid w:val="008068E6"/>
    <w:rsid w:val="008071DC"/>
    <w:rsid w:val="00810476"/>
    <w:rsid w:val="0081100C"/>
    <w:rsid w:val="00811B99"/>
    <w:rsid w:val="00812603"/>
    <w:rsid w:val="0081291B"/>
    <w:rsid w:val="00813ABC"/>
    <w:rsid w:val="0081597E"/>
    <w:rsid w:val="008160F2"/>
    <w:rsid w:val="00820078"/>
    <w:rsid w:val="008210E2"/>
    <w:rsid w:val="0082217C"/>
    <w:rsid w:val="008229CF"/>
    <w:rsid w:val="0082476C"/>
    <w:rsid w:val="00825977"/>
    <w:rsid w:val="00825A03"/>
    <w:rsid w:val="00826360"/>
    <w:rsid w:val="00826AC6"/>
    <w:rsid w:val="008273BE"/>
    <w:rsid w:val="00827451"/>
    <w:rsid w:val="0083230F"/>
    <w:rsid w:val="00833DBD"/>
    <w:rsid w:val="0083494C"/>
    <w:rsid w:val="008355C3"/>
    <w:rsid w:val="008379AC"/>
    <w:rsid w:val="00837FC9"/>
    <w:rsid w:val="0084082E"/>
    <w:rsid w:val="0084152F"/>
    <w:rsid w:val="0084161C"/>
    <w:rsid w:val="00841BE5"/>
    <w:rsid w:val="008427C2"/>
    <w:rsid w:val="00843017"/>
    <w:rsid w:val="00843259"/>
    <w:rsid w:val="0084332F"/>
    <w:rsid w:val="00843C25"/>
    <w:rsid w:val="00844BA0"/>
    <w:rsid w:val="00845C18"/>
    <w:rsid w:val="00846078"/>
    <w:rsid w:val="00846221"/>
    <w:rsid w:val="008463B0"/>
    <w:rsid w:val="0084776B"/>
    <w:rsid w:val="008553BC"/>
    <w:rsid w:val="008557F3"/>
    <w:rsid w:val="00856DA1"/>
    <w:rsid w:val="00857A63"/>
    <w:rsid w:val="00860283"/>
    <w:rsid w:val="008609C1"/>
    <w:rsid w:val="00861999"/>
    <w:rsid w:val="00861D13"/>
    <w:rsid w:val="00862A1B"/>
    <w:rsid w:val="008637F1"/>
    <w:rsid w:val="00866C19"/>
    <w:rsid w:val="00867927"/>
    <w:rsid w:val="00870161"/>
    <w:rsid w:val="00870A16"/>
    <w:rsid w:val="00872283"/>
    <w:rsid w:val="008722DC"/>
    <w:rsid w:val="008724E0"/>
    <w:rsid w:val="0087266C"/>
    <w:rsid w:val="00873165"/>
    <w:rsid w:val="0087589E"/>
    <w:rsid w:val="00875DEB"/>
    <w:rsid w:val="0087657F"/>
    <w:rsid w:val="00877021"/>
    <w:rsid w:val="0088077B"/>
    <w:rsid w:val="00880A22"/>
    <w:rsid w:val="00881069"/>
    <w:rsid w:val="00881197"/>
    <w:rsid w:val="00882B5F"/>
    <w:rsid w:val="00882BA6"/>
    <w:rsid w:val="008853B0"/>
    <w:rsid w:val="008869D1"/>
    <w:rsid w:val="00890A1A"/>
    <w:rsid w:val="00890C4F"/>
    <w:rsid w:val="0089248C"/>
    <w:rsid w:val="0089384D"/>
    <w:rsid w:val="008941B1"/>
    <w:rsid w:val="008946F3"/>
    <w:rsid w:val="00894B90"/>
    <w:rsid w:val="00894EFC"/>
    <w:rsid w:val="00896005"/>
    <w:rsid w:val="00897352"/>
    <w:rsid w:val="008974F1"/>
    <w:rsid w:val="00897D07"/>
    <w:rsid w:val="00897D67"/>
    <w:rsid w:val="008A064F"/>
    <w:rsid w:val="008A0E8F"/>
    <w:rsid w:val="008A1820"/>
    <w:rsid w:val="008A34F0"/>
    <w:rsid w:val="008A3C8E"/>
    <w:rsid w:val="008A6924"/>
    <w:rsid w:val="008A699B"/>
    <w:rsid w:val="008B1AFD"/>
    <w:rsid w:val="008B2A15"/>
    <w:rsid w:val="008B3BBF"/>
    <w:rsid w:val="008B4237"/>
    <w:rsid w:val="008B5688"/>
    <w:rsid w:val="008B57F2"/>
    <w:rsid w:val="008C0A8D"/>
    <w:rsid w:val="008C0DC9"/>
    <w:rsid w:val="008C22A9"/>
    <w:rsid w:val="008C2A4C"/>
    <w:rsid w:val="008C33F8"/>
    <w:rsid w:val="008C37C5"/>
    <w:rsid w:val="008C5386"/>
    <w:rsid w:val="008C539B"/>
    <w:rsid w:val="008C6229"/>
    <w:rsid w:val="008C68DA"/>
    <w:rsid w:val="008C753F"/>
    <w:rsid w:val="008D00A3"/>
    <w:rsid w:val="008D2379"/>
    <w:rsid w:val="008D306E"/>
    <w:rsid w:val="008D6213"/>
    <w:rsid w:val="008D63C5"/>
    <w:rsid w:val="008D6D2C"/>
    <w:rsid w:val="008E0630"/>
    <w:rsid w:val="008E0796"/>
    <w:rsid w:val="008E1B37"/>
    <w:rsid w:val="008E1E04"/>
    <w:rsid w:val="008E5D99"/>
    <w:rsid w:val="008E6D67"/>
    <w:rsid w:val="008F0099"/>
    <w:rsid w:val="008F09F8"/>
    <w:rsid w:val="008F1922"/>
    <w:rsid w:val="008F1ED6"/>
    <w:rsid w:val="008F256D"/>
    <w:rsid w:val="008F3B7E"/>
    <w:rsid w:val="008F3EAD"/>
    <w:rsid w:val="008F62CC"/>
    <w:rsid w:val="008F694B"/>
    <w:rsid w:val="00900BC0"/>
    <w:rsid w:val="00902322"/>
    <w:rsid w:val="00902A4D"/>
    <w:rsid w:val="00903C24"/>
    <w:rsid w:val="00904302"/>
    <w:rsid w:val="00904439"/>
    <w:rsid w:val="0090463B"/>
    <w:rsid w:val="00904E3A"/>
    <w:rsid w:val="00907126"/>
    <w:rsid w:val="00910812"/>
    <w:rsid w:val="00911F79"/>
    <w:rsid w:val="0091409E"/>
    <w:rsid w:val="0091434D"/>
    <w:rsid w:val="00914DBE"/>
    <w:rsid w:val="009170EE"/>
    <w:rsid w:val="00917C34"/>
    <w:rsid w:val="009212DC"/>
    <w:rsid w:val="00922529"/>
    <w:rsid w:val="00923688"/>
    <w:rsid w:val="0092416C"/>
    <w:rsid w:val="00924D81"/>
    <w:rsid w:val="009256AB"/>
    <w:rsid w:val="00927251"/>
    <w:rsid w:val="00927FCF"/>
    <w:rsid w:val="00931E59"/>
    <w:rsid w:val="009343F2"/>
    <w:rsid w:val="00934A32"/>
    <w:rsid w:val="00935018"/>
    <w:rsid w:val="00936B97"/>
    <w:rsid w:val="009377D7"/>
    <w:rsid w:val="00941212"/>
    <w:rsid w:val="00941A1D"/>
    <w:rsid w:val="00941FB8"/>
    <w:rsid w:val="00942A64"/>
    <w:rsid w:val="00943C4F"/>
    <w:rsid w:val="00943C5E"/>
    <w:rsid w:val="0094405C"/>
    <w:rsid w:val="00945CF3"/>
    <w:rsid w:val="00946020"/>
    <w:rsid w:val="00947580"/>
    <w:rsid w:val="00950D67"/>
    <w:rsid w:val="00950FA8"/>
    <w:rsid w:val="00951421"/>
    <w:rsid w:val="009534C3"/>
    <w:rsid w:val="00954DB1"/>
    <w:rsid w:val="00955667"/>
    <w:rsid w:val="009568BD"/>
    <w:rsid w:val="00957971"/>
    <w:rsid w:val="009579E3"/>
    <w:rsid w:val="00957C29"/>
    <w:rsid w:val="00957CF7"/>
    <w:rsid w:val="00961B9B"/>
    <w:rsid w:val="009621CB"/>
    <w:rsid w:val="009625D6"/>
    <w:rsid w:val="00963066"/>
    <w:rsid w:val="00963AB5"/>
    <w:rsid w:val="009645CA"/>
    <w:rsid w:val="00964B62"/>
    <w:rsid w:val="00965B15"/>
    <w:rsid w:val="00967A82"/>
    <w:rsid w:val="00967AC0"/>
    <w:rsid w:val="00970783"/>
    <w:rsid w:val="00971227"/>
    <w:rsid w:val="009713CA"/>
    <w:rsid w:val="0097179E"/>
    <w:rsid w:val="00971C9E"/>
    <w:rsid w:val="00971F0A"/>
    <w:rsid w:val="00972757"/>
    <w:rsid w:val="00972CC2"/>
    <w:rsid w:val="009732EB"/>
    <w:rsid w:val="009750C8"/>
    <w:rsid w:val="00975BC2"/>
    <w:rsid w:val="00976CDB"/>
    <w:rsid w:val="00976F0F"/>
    <w:rsid w:val="00980A4C"/>
    <w:rsid w:val="00980D06"/>
    <w:rsid w:val="009810E0"/>
    <w:rsid w:val="00981F9E"/>
    <w:rsid w:val="00982CF2"/>
    <w:rsid w:val="009846B9"/>
    <w:rsid w:val="00985799"/>
    <w:rsid w:val="00985D69"/>
    <w:rsid w:val="0098642C"/>
    <w:rsid w:val="009940AC"/>
    <w:rsid w:val="00994B13"/>
    <w:rsid w:val="00994C6A"/>
    <w:rsid w:val="00995422"/>
    <w:rsid w:val="009964C4"/>
    <w:rsid w:val="009970B7"/>
    <w:rsid w:val="009975CA"/>
    <w:rsid w:val="00997F3C"/>
    <w:rsid w:val="009A065E"/>
    <w:rsid w:val="009A1361"/>
    <w:rsid w:val="009A1815"/>
    <w:rsid w:val="009A2AAC"/>
    <w:rsid w:val="009A3890"/>
    <w:rsid w:val="009A3A15"/>
    <w:rsid w:val="009A3CCE"/>
    <w:rsid w:val="009A41AD"/>
    <w:rsid w:val="009A5A66"/>
    <w:rsid w:val="009A64DC"/>
    <w:rsid w:val="009A7844"/>
    <w:rsid w:val="009A7999"/>
    <w:rsid w:val="009B5DB4"/>
    <w:rsid w:val="009B6B32"/>
    <w:rsid w:val="009B72EA"/>
    <w:rsid w:val="009B7592"/>
    <w:rsid w:val="009B7A1B"/>
    <w:rsid w:val="009C07E2"/>
    <w:rsid w:val="009C08BB"/>
    <w:rsid w:val="009C1F4A"/>
    <w:rsid w:val="009C3D71"/>
    <w:rsid w:val="009C4F08"/>
    <w:rsid w:val="009C53E5"/>
    <w:rsid w:val="009C55AA"/>
    <w:rsid w:val="009C70CA"/>
    <w:rsid w:val="009C7663"/>
    <w:rsid w:val="009C7ACA"/>
    <w:rsid w:val="009D1238"/>
    <w:rsid w:val="009D1C7B"/>
    <w:rsid w:val="009D3223"/>
    <w:rsid w:val="009D3E1D"/>
    <w:rsid w:val="009D4169"/>
    <w:rsid w:val="009D42BC"/>
    <w:rsid w:val="009D551D"/>
    <w:rsid w:val="009D5C14"/>
    <w:rsid w:val="009D67D6"/>
    <w:rsid w:val="009D6AA0"/>
    <w:rsid w:val="009D78BF"/>
    <w:rsid w:val="009D7933"/>
    <w:rsid w:val="009D7B9E"/>
    <w:rsid w:val="009E033E"/>
    <w:rsid w:val="009E2055"/>
    <w:rsid w:val="009E2071"/>
    <w:rsid w:val="009E429B"/>
    <w:rsid w:val="009E490E"/>
    <w:rsid w:val="009E4996"/>
    <w:rsid w:val="009E69A5"/>
    <w:rsid w:val="009E7A0F"/>
    <w:rsid w:val="009E7A54"/>
    <w:rsid w:val="009F18E5"/>
    <w:rsid w:val="009F18EB"/>
    <w:rsid w:val="009F4220"/>
    <w:rsid w:val="009F4B48"/>
    <w:rsid w:val="009F4C87"/>
    <w:rsid w:val="009F5A08"/>
    <w:rsid w:val="009F6A42"/>
    <w:rsid w:val="009F6F08"/>
    <w:rsid w:val="009F75AD"/>
    <w:rsid w:val="009F7EB0"/>
    <w:rsid w:val="00A004BC"/>
    <w:rsid w:val="00A007E9"/>
    <w:rsid w:val="00A02332"/>
    <w:rsid w:val="00A04B3F"/>
    <w:rsid w:val="00A05616"/>
    <w:rsid w:val="00A06D19"/>
    <w:rsid w:val="00A101D3"/>
    <w:rsid w:val="00A10914"/>
    <w:rsid w:val="00A124DF"/>
    <w:rsid w:val="00A15E5A"/>
    <w:rsid w:val="00A20C42"/>
    <w:rsid w:val="00A2155D"/>
    <w:rsid w:val="00A21C14"/>
    <w:rsid w:val="00A2209F"/>
    <w:rsid w:val="00A220AF"/>
    <w:rsid w:val="00A23DD1"/>
    <w:rsid w:val="00A23F8F"/>
    <w:rsid w:val="00A25552"/>
    <w:rsid w:val="00A25CA3"/>
    <w:rsid w:val="00A26355"/>
    <w:rsid w:val="00A30CFC"/>
    <w:rsid w:val="00A317E5"/>
    <w:rsid w:val="00A31962"/>
    <w:rsid w:val="00A320CE"/>
    <w:rsid w:val="00A33D45"/>
    <w:rsid w:val="00A33EC4"/>
    <w:rsid w:val="00A34E36"/>
    <w:rsid w:val="00A3536A"/>
    <w:rsid w:val="00A37A6D"/>
    <w:rsid w:val="00A37B41"/>
    <w:rsid w:val="00A37B81"/>
    <w:rsid w:val="00A42317"/>
    <w:rsid w:val="00A451ED"/>
    <w:rsid w:val="00A4564F"/>
    <w:rsid w:val="00A462D2"/>
    <w:rsid w:val="00A475C6"/>
    <w:rsid w:val="00A47E12"/>
    <w:rsid w:val="00A5012F"/>
    <w:rsid w:val="00A5055B"/>
    <w:rsid w:val="00A51051"/>
    <w:rsid w:val="00A54948"/>
    <w:rsid w:val="00A553B2"/>
    <w:rsid w:val="00A55A94"/>
    <w:rsid w:val="00A56535"/>
    <w:rsid w:val="00A568F3"/>
    <w:rsid w:val="00A56C8E"/>
    <w:rsid w:val="00A5705A"/>
    <w:rsid w:val="00A57406"/>
    <w:rsid w:val="00A60AF7"/>
    <w:rsid w:val="00A611C5"/>
    <w:rsid w:val="00A62AF9"/>
    <w:rsid w:val="00A631B2"/>
    <w:rsid w:val="00A63D4C"/>
    <w:rsid w:val="00A63FE1"/>
    <w:rsid w:val="00A643EE"/>
    <w:rsid w:val="00A64973"/>
    <w:rsid w:val="00A6527A"/>
    <w:rsid w:val="00A65439"/>
    <w:rsid w:val="00A65D32"/>
    <w:rsid w:val="00A65EF2"/>
    <w:rsid w:val="00A65FC7"/>
    <w:rsid w:val="00A6667D"/>
    <w:rsid w:val="00A67198"/>
    <w:rsid w:val="00A701F1"/>
    <w:rsid w:val="00A70CC7"/>
    <w:rsid w:val="00A71005"/>
    <w:rsid w:val="00A71CC5"/>
    <w:rsid w:val="00A724EC"/>
    <w:rsid w:val="00A73255"/>
    <w:rsid w:val="00A737DE"/>
    <w:rsid w:val="00A75EB0"/>
    <w:rsid w:val="00A75F31"/>
    <w:rsid w:val="00A760E8"/>
    <w:rsid w:val="00A77279"/>
    <w:rsid w:val="00A77348"/>
    <w:rsid w:val="00A804AB"/>
    <w:rsid w:val="00A808C8"/>
    <w:rsid w:val="00A80F86"/>
    <w:rsid w:val="00A824C0"/>
    <w:rsid w:val="00A8493D"/>
    <w:rsid w:val="00A866B2"/>
    <w:rsid w:val="00A86A29"/>
    <w:rsid w:val="00A86D5F"/>
    <w:rsid w:val="00A8732D"/>
    <w:rsid w:val="00A87B52"/>
    <w:rsid w:val="00A87EE0"/>
    <w:rsid w:val="00A87F30"/>
    <w:rsid w:val="00A87FDA"/>
    <w:rsid w:val="00A90057"/>
    <w:rsid w:val="00A906A3"/>
    <w:rsid w:val="00A92278"/>
    <w:rsid w:val="00A92C1A"/>
    <w:rsid w:val="00A936DC"/>
    <w:rsid w:val="00AA0296"/>
    <w:rsid w:val="00AA042D"/>
    <w:rsid w:val="00AA0921"/>
    <w:rsid w:val="00AA11C5"/>
    <w:rsid w:val="00AA139A"/>
    <w:rsid w:val="00AA1FCB"/>
    <w:rsid w:val="00AA2874"/>
    <w:rsid w:val="00AA2A5D"/>
    <w:rsid w:val="00AA2F5F"/>
    <w:rsid w:val="00AA5D07"/>
    <w:rsid w:val="00AA6611"/>
    <w:rsid w:val="00AA6A09"/>
    <w:rsid w:val="00AA6FC4"/>
    <w:rsid w:val="00AA774D"/>
    <w:rsid w:val="00AB071F"/>
    <w:rsid w:val="00AB2E14"/>
    <w:rsid w:val="00AB4F29"/>
    <w:rsid w:val="00AB7CF3"/>
    <w:rsid w:val="00AC0549"/>
    <w:rsid w:val="00AC1A41"/>
    <w:rsid w:val="00AC1EE4"/>
    <w:rsid w:val="00AC2534"/>
    <w:rsid w:val="00AC2D3A"/>
    <w:rsid w:val="00AC2D46"/>
    <w:rsid w:val="00AC3595"/>
    <w:rsid w:val="00AC5101"/>
    <w:rsid w:val="00AC61D7"/>
    <w:rsid w:val="00AC68E1"/>
    <w:rsid w:val="00AC7854"/>
    <w:rsid w:val="00AC78C3"/>
    <w:rsid w:val="00AC790E"/>
    <w:rsid w:val="00AC7E79"/>
    <w:rsid w:val="00AD0708"/>
    <w:rsid w:val="00AD15F8"/>
    <w:rsid w:val="00AD1C08"/>
    <w:rsid w:val="00AD1D15"/>
    <w:rsid w:val="00AD3DCC"/>
    <w:rsid w:val="00AD4F69"/>
    <w:rsid w:val="00AD500A"/>
    <w:rsid w:val="00AD5468"/>
    <w:rsid w:val="00AD563A"/>
    <w:rsid w:val="00AD6F72"/>
    <w:rsid w:val="00AD7A5B"/>
    <w:rsid w:val="00AD7F22"/>
    <w:rsid w:val="00AE3162"/>
    <w:rsid w:val="00AE3F5C"/>
    <w:rsid w:val="00AE431B"/>
    <w:rsid w:val="00AE46EC"/>
    <w:rsid w:val="00AE4C58"/>
    <w:rsid w:val="00AE5F6F"/>
    <w:rsid w:val="00AE612F"/>
    <w:rsid w:val="00AF00ED"/>
    <w:rsid w:val="00AF0554"/>
    <w:rsid w:val="00AF0EFD"/>
    <w:rsid w:val="00AF12EE"/>
    <w:rsid w:val="00AF1586"/>
    <w:rsid w:val="00AF19A4"/>
    <w:rsid w:val="00AF1AE8"/>
    <w:rsid w:val="00AF1EB7"/>
    <w:rsid w:val="00AF1EDC"/>
    <w:rsid w:val="00AF26BD"/>
    <w:rsid w:val="00AF3819"/>
    <w:rsid w:val="00AF54D2"/>
    <w:rsid w:val="00AF6254"/>
    <w:rsid w:val="00B002FF"/>
    <w:rsid w:val="00B00533"/>
    <w:rsid w:val="00B00977"/>
    <w:rsid w:val="00B01011"/>
    <w:rsid w:val="00B02744"/>
    <w:rsid w:val="00B0486B"/>
    <w:rsid w:val="00B10E5F"/>
    <w:rsid w:val="00B1140C"/>
    <w:rsid w:val="00B11C9D"/>
    <w:rsid w:val="00B12250"/>
    <w:rsid w:val="00B13229"/>
    <w:rsid w:val="00B13AE2"/>
    <w:rsid w:val="00B13DCD"/>
    <w:rsid w:val="00B1594C"/>
    <w:rsid w:val="00B15D04"/>
    <w:rsid w:val="00B162ED"/>
    <w:rsid w:val="00B17E14"/>
    <w:rsid w:val="00B2172B"/>
    <w:rsid w:val="00B21E5F"/>
    <w:rsid w:val="00B231BB"/>
    <w:rsid w:val="00B23419"/>
    <w:rsid w:val="00B235C2"/>
    <w:rsid w:val="00B24866"/>
    <w:rsid w:val="00B25954"/>
    <w:rsid w:val="00B25BB4"/>
    <w:rsid w:val="00B27C9A"/>
    <w:rsid w:val="00B303C6"/>
    <w:rsid w:val="00B30D35"/>
    <w:rsid w:val="00B3159E"/>
    <w:rsid w:val="00B32513"/>
    <w:rsid w:val="00B325C0"/>
    <w:rsid w:val="00B331B5"/>
    <w:rsid w:val="00B35F03"/>
    <w:rsid w:val="00B360B1"/>
    <w:rsid w:val="00B401FA"/>
    <w:rsid w:val="00B40257"/>
    <w:rsid w:val="00B40BD9"/>
    <w:rsid w:val="00B40CFC"/>
    <w:rsid w:val="00B41C9C"/>
    <w:rsid w:val="00B434C7"/>
    <w:rsid w:val="00B510B8"/>
    <w:rsid w:val="00B53C3E"/>
    <w:rsid w:val="00B5472F"/>
    <w:rsid w:val="00B553FC"/>
    <w:rsid w:val="00B57CEC"/>
    <w:rsid w:val="00B6074B"/>
    <w:rsid w:val="00B614BC"/>
    <w:rsid w:val="00B616BE"/>
    <w:rsid w:val="00B62121"/>
    <w:rsid w:val="00B626D8"/>
    <w:rsid w:val="00B62E85"/>
    <w:rsid w:val="00B63213"/>
    <w:rsid w:val="00B635F6"/>
    <w:rsid w:val="00B6419A"/>
    <w:rsid w:val="00B64EEB"/>
    <w:rsid w:val="00B65C0C"/>
    <w:rsid w:val="00B66B0B"/>
    <w:rsid w:val="00B675EF"/>
    <w:rsid w:val="00B70D06"/>
    <w:rsid w:val="00B7201F"/>
    <w:rsid w:val="00B72539"/>
    <w:rsid w:val="00B730C5"/>
    <w:rsid w:val="00B7311D"/>
    <w:rsid w:val="00B7381D"/>
    <w:rsid w:val="00B744B9"/>
    <w:rsid w:val="00B74C50"/>
    <w:rsid w:val="00B76475"/>
    <w:rsid w:val="00B80620"/>
    <w:rsid w:val="00B8173F"/>
    <w:rsid w:val="00B81C0E"/>
    <w:rsid w:val="00B81DFD"/>
    <w:rsid w:val="00B824BF"/>
    <w:rsid w:val="00B838BE"/>
    <w:rsid w:val="00B83BED"/>
    <w:rsid w:val="00B84E01"/>
    <w:rsid w:val="00B868C5"/>
    <w:rsid w:val="00B872B7"/>
    <w:rsid w:val="00B90A0E"/>
    <w:rsid w:val="00B90E36"/>
    <w:rsid w:val="00B94795"/>
    <w:rsid w:val="00B94D25"/>
    <w:rsid w:val="00B9561E"/>
    <w:rsid w:val="00B973C3"/>
    <w:rsid w:val="00BA025F"/>
    <w:rsid w:val="00BA0648"/>
    <w:rsid w:val="00BA0B9C"/>
    <w:rsid w:val="00BA1339"/>
    <w:rsid w:val="00BA1FAB"/>
    <w:rsid w:val="00BA377A"/>
    <w:rsid w:val="00BA3CD7"/>
    <w:rsid w:val="00BA3E7A"/>
    <w:rsid w:val="00BA43A7"/>
    <w:rsid w:val="00BA5DDC"/>
    <w:rsid w:val="00BA6160"/>
    <w:rsid w:val="00BA74AB"/>
    <w:rsid w:val="00BB1A77"/>
    <w:rsid w:val="00BB2186"/>
    <w:rsid w:val="00BB25A4"/>
    <w:rsid w:val="00BB2F1D"/>
    <w:rsid w:val="00BB51B2"/>
    <w:rsid w:val="00BB52C1"/>
    <w:rsid w:val="00BC03AB"/>
    <w:rsid w:val="00BC1DB3"/>
    <w:rsid w:val="00BC41B2"/>
    <w:rsid w:val="00BC42EF"/>
    <w:rsid w:val="00BC46DF"/>
    <w:rsid w:val="00BC47C1"/>
    <w:rsid w:val="00BC7F46"/>
    <w:rsid w:val="00BD019A"/>
    <w:rsid w:val="00BD069E"/>
    <w:rsid w:val="00BD0A86"/>
    <w:rsid w:val="00BD18E7"/>
    <w:rsid w:val="00BD2252"/>
    <w:rsid w:val="00BD4C8D"/>
    <w:rsid w:val="00BD681E"/>
    <w:rsid w:val="00BD7635"/>
    <w:rsid w:val="00BE0F23"/>
    <w:rsid w:val="00BE127F"/>
    <w:rsid w:val="00BE16A7"/>
    <w:rsid w:val="00BE2544"/>
    <w:rsid w:val="00BE2B0D"/>
    <w:rsid w:val="00BE5DAB"/>
    <w:rsid w:val="00BE6030"/>
    <w:rsid w:val="00BE6488"/>
    <w:rsid w:val="00BE685C"/>
    <w:rsid w:val="00BE6A14"/>
    <w:rsid w:val="00BF1A38"/>
    <w:rsid w:val="00BF2CCE"/>
    <w:rsid w:val="00BF3105"/>
    <w:rsid w:val="00BF34AE"/>
    <w:rsid w:val="00BF4444"/>
    <w:rsid w:val="00BF4F5B"/>
    <w:rsid w:val="00BF5120"/>
    <w:rsid w:val="00BF5F7E"/>
    <w:rsid w:val="00BF6E0A"/>
    <w:rsid w:val="00BF7675"/>
    <w:rsid w:val="00C00152"/>
    <w:rsid w:val="00C011E1"/>
    <w:rsid w:val="00C022C8"/>
    <w:rsid w:val="00C02CD5"/>
    <w:rsid w:val="00C02FA0"/>
    <w:rsid w:val="00C036E3"/>
    <w:rsid w:val="00C0459B"/>
    <w:rsid w:val="00C06C7C"/>
    <w:rsid w:val="00C06F48"/>
    <w:rsid w:val="00C07D70"/>
    <w:rsid w:val="00C104C4"/>
    <w:rsid w:val="00C11F47"/>
    <w:rsid w:val="00C11FF6"/>
    <w:rsid w:val="00C1289E"/>
    <w:rsid w:val="00C133BC"/>
    <w:rsid w:val="00C14633"/>
    <w:rsid w:val="00C15114"/>
    <w:rsid w:val="00C1514E"/>
    <w:rsid w:val="00C1596F"/>
    <w:rsid w:val="00C20082"/>
    <w:rsid w:val="00C20A1D"/>
    <w:rsid w:val="00C20CB8"/>
    <w:rsid w:val="00C20CD3"/>
    <w:rsid w:val="00C211AE"/>
    <w:rsid w:val="00C22D5F"/>
    <w:rsid w:val="00C22E7D"/>
    <w:rsid w:val="00C25AEE"/>
    <w:rsid w:val="00C26711"/>
    <w:rsid w:val="00C2709A"/>
    <w:rsid w:val="00C273F4"/>
    <w:rsid w:val="00C30881"/>
    <w:rsid w:val="00C3147D"/>
    <w:rsid w:val="00C32798"/>
    <w:rsid w:val="00C33A4C"/>
    <w:rsid w:val="00C35ABE"/>
    <w:rsid w:val="00C363BA"/>
    <w:rsid w:val="00C36C29"/>
    <w:rsid w:val="00C37B1B"/>
    <w:rsid w:val="00C41A4C"/>
    <w:rsid w:val="00C41E0B"/>
    <w:rsid w:val="00C41F91"/>
    <w:rsid w:val="00C42635"/>
    <w:rsid w:val="00C43A0B"/>
    <w:rsid w:val="00C43B3D"/>
    <w:rsid w:val="00C43E2B"/>
    <w:rsid w:val="00C442A0"/>
    <w:rsid w:val="00C447EF"/>
    <w:rsid w:val="00C44DCC"/>
    <w:rsid w:val="00C45841"/>
    <w:rsid w:val="00C4651A"/>
    <w:rsid w:val="00C47CD9"/>
    <w:rsid w:val="00C47E6E"/>
    <w:rsid w:val="00C52558"/>
    <w:rsid w:val="00C5307A"/>
    <w:rsid w:val="00C53B92"/>
    <w:rsid w:val="00C5519E"/>
    <w:rsid w:val="00C555AE"/>
    <w:rsid w:val="00C55C5D"/>
    <w:rsid w:val="00C561BA"/>
    <w:rsid w:val="00C56CFB"/>
    <w:rsid w:val="00C60EFA"/>
    <w:rsid w:val="00C62206"/>
    <w:rsid w:val="00C62604"/>
    <w:rsid w:val="00C6313B"/>
    <w:rsid w:val="00C66379"/>
    <w:rsid w:val="00C704A5"/>
    <w:rsid w:val="00C70669"/>
    <w:rsid w:val="00C7095F"/>
    <w:rsid w:val="00C70F82"/>
    <w:rsid w:val="00C71A74"/>
    <w:rsid w:val="00C728D8"/>
    <w:rsid w:val="00C72AB6"/>
    <w:rsid w:val="00C738C1"/>
    <w:rsid w:val="00C74853"/>
    <w:rsid w:val="00C75CBD"/>
    <w:rsid w:val="00C77634"/>
    <w:rsid w:val="00C779BE"/>
    <w:rsid w:val="00C8047D"/>
    <w:rsid w:val="00C80A94"/>
    <w:rsid w:val="00C83646"/>
    <w:rsid w:val="00C83A40"/>
    <w:rsid w:val="00C91D6E"/>
    <w:rsid w:val="00C92345"/>
    <w:rsid w:val="00C924C3"/>
    <w:rsid w:val="00C93F5F"/>
    <w:rsid w:val="00C9670E"/>
    <w:rsid w:val="00C967D3"/>
    <w:rsid w:val="00C971C1"/>
    <w:rsid w:val="00CA0E32"/>
    <w:rsid w:val="00CA12C0"/>
    <w:rsid w:val="00CA24DB"/>
    <w:rsid w:val="00CA5B12"/>
    <w:rsid w:val="00CA6461"/>
    <w:rsid w:val="00CA683B"/>
    <w:rsid w:val="00CA7406"/>
    <w:rsid w:val="00CA7654"/>
    <w:rsid w:val="00CA7F3C"/>
    <w:rsid w:val="00CB023D"/>
    <w:rsid w:val="00CB1170"/>
    <w:rsid w:val="00CB2C9D"/>
    <w:rsid w:val="00CB2EE7"/>
    <w:rsid w:val="00CB40D3"/>
    <w:rsid w:val="00CB520B"/>
    <w:rsid w:val="00CB58DC"/>
    <w:rsid w:val="00CB6E34"/>
    <w:rsid w:val="00CC0828"/>
    <w:rsid w:val="00CC0A62"/>
    <w:rsid w:val="00CC1386"/>
    <w:rsid w:val="00CC14FC"/>
    <w:rsid w:val="00CC2D6C"/>
    <w:rsid w:val="00CC2E41"/>
    <w:rsid w:val="00CC36CC"/>
    <w:rsid w:val="00CD0130"/>
    <w:rsid w:val="00CD11E0"/>
    <w:rsid w:val="00CD128E"/>
    <w:rsid w:val="00CD1475"/>
    <w:rsid w:val="00CD2537"/>
    <w:rsid w:val="00CD4285"/>
    <w:rsid w:val="00CD4E56"/>
    <w:rsid w:val="00CD577B"/>
    <w:rsid w:val="00CD5C0F"/>
    <w:rsid w:val="00CD5D5E"/>
    <w:rsid w:val="00CD5F8D"/>
    <w:rsid w:val="00CD6510"/>
    <w:rsid w:val="00CD69F4"/>
    <w:rsid w:val="00CD6B7C"/>
    <w:rsid w:val="00CE06F9"/>
    <w:rsid w:val="00CE188A"/>
    <w:rsid w:val="00CE3978"/>
    <w:rsid w:val="00CE3DD2"/>
    <w:rsid w:val="00CE5647"/>
    <w:rsid w:val="00CE5EB1"/>
    <w:rsid w:val="00CE6843"/>
    <w:rsid w:val="00CF29A3"/>
    <w:rsid w:val="00CF4428"/>
    <w:rsid w:val="00CF616B"/>
    <w:rsid w:val="00D00A3D"/>
    <w:rsid w:val="00D00C54"/>
    <w:rsid w:val="00D01132"/>
    <w:rsid w:val="00D01E9C"/>
    <w:rsid w:val="00D03227"/>
    <w:rsid w:val="00D03DD9"/>
    <w:rsid w:val="00D03EC7"/>
    <w:rsid w:val="00D0535A"/>
    <w:rsid w:val="00D05EE8"/>
    <w:rsid w:val="00D06484"/>
    <w:rsid w:val="00D064C8"/>
    <w:rsid w:val="00D06779"/>
    <w:rsid w:val="00D07195"/>
    <w:rsid w:val="00D13C19"/>
    <w:rsid w:val="00D154FD"/>
    <w:rsid w:val="00D1567A"/>
    <w:rsid w:val="00D15D80"/>
    <w:rsid w:val="00D160D1"/>
    <w:rsid w:val="00D1698D"/>
    <w:rsid w:val="00D16CC5"/>
    <w:rsid w:val="00D177A3"/>
    <w:rsid w:val="00D20BA9"/>
    <w:rsid w:val="00D20CBA"/>
    <w:rsid w:val="00D21CE0"/>
    <w:rsid w:val="00D21E8A"/>
    <w:rsid w:val="00D21F12"/>
    <w:rsid w:val="00D223FC"/>
    <w:rsid w:val="00D224B2"/>
    <w:rsid w:val="00D2403A"/>
    <w:rsid w:val="00D2456D"/>
    <w:rsid w:val="00D24B36"/>
    <w:rsid w:val="00D264CA"/>
    <w:rsid w:val="00D26676"/>
    <w:rsid w:val="00D26D9A"/>
    <w:rsid w:val="00D275D6"/>
    <w:rsid w:val="00D279C4"/>
    <w:rsid w:val="00D30132"/>
    <w:rsid w:val="00D31587"/>
    <w:rsid w:val="00D325B9"/>
    <w:rsid w:val="00D326CC"/>
    <w:rsid w:val="00D33505"/>
    <w:rsid w:val="00D34BB1"/>
    <w:rsid w:val="00D364F7"/>
    <w:rsid w:val="00D373FC"/>
    <w:rsid w:val="00D37530"/>
    <w:rsid w:val="00D376D0"/>
    <w:rsid w:val="00D40166"/>
    <w:rsid w:val="00D40DF7"/>
    <w:rsid w:val="00D41835"/>
    <w:rsid w:val="00D41D0D"/>
    <w:rsid w:val="00D42390"/>
    <w:rsid w:val="00D42B4D"/>
    <w:rsid w:val="00D43502"/>
    <w:rsid w:val="00D45D49"/>
    <w:rsid w:val="00D51451"/>
    <w:rsid w:val="00D519E4"/>
    <w:rsid w:val="00D51F94"/>
    <w:rsid w:val="00D520A9"/>
    <w:rsid w:val="00D52F94"/>
    <w:rsid w:val="00D55E5B"/>
    <w:rsid w:val="00D562DF"/>
    <w:rsid w:val="00D60B73"/>
    <w:rsid w:val="00D60F67"/>
    <w:rsid w:val="00D613A5"/>
    <w:rsid w:val="00D619DC"/>
    <w:rsid w:val="00D62357"/>
    <w:rsid w:val="00D63A1E"/>
    <w:rsid w:val="00D64244"/>
    <w:rsid w:val="00D653F6"/>
    <w:rsid w:val="00D66693"/>
    <w:rsid w:val="00D66A6A"/>
    <w:rsid w:val="00D66BE2"/>
    <w:rsid w:val="00D67373"/>
    <w:rsid w:val="00D7071B"/>
    <w:rsid w:val="00D7075A"/>
    <w:rsid w:val="00D71ECF"/>
    <w:rsid w:val="00D72ABB"/>
    <w:rsid w:val="00D73213"/>
    <w:rsid w:val="00D7321F"/>
    <w:rsid w:val="00D73E5D"/>
    <w:rsid w:val="00D75288"/>
    <w:rsid w:val="00D75670"/>
    <w:rsid w:val="00D765AF"/>
    <w:rsid w:val="00D76EBC"/>
    <w:rsid w:val="00D77340"/>
    <w:rsid w:val="00D80DB4"/>
    <w:rsid w:val="00D81866"/>
    <w:rsid w:val="00D82322"/>
    <w:rsid w:val="00D82431"/>
    <w:rsid w:val="00D8248E"/>
    <w:rsid w:val="00D83234"/>
    <w:rsid w:val="00D83A46"/>
    <w:rsid w:val="00D84481"/>
    <w:rsid w:val="00D876D4"/>
    <w:rsid w:val="00D925D3"/>
    <w:rsid w:val="00D92694"/>
    <w:rsid w:val="00D92F08"/>
    <w:rsid w:val="00D92F7D"/>
    <w:rsid w:val="00D9537F"/>
    <w:rsid w:val="00D956ED"/>
    <w:rsid w:val="00D96434"/>
    <w:rsid w:val="00D968FF"/>
    <w:rsid w:val="00DA0DFC"/>
    <w:rsid w:val="00DA11EA"/>
    <w:rsid w:val="00DA1452"/>
    <w:rsid w:val="00DA3536"/>
    <w:rsid w:val="00DA397D"/>
    <w:rsid w:val="00DA4011"/>
    <w:rsid w:val="00DA4C2B"/>
    <w:rsid w:val="00DA4FED"/>
    <w:rsid w:val="00DA5A78"/>
    <w:rsid w:val="00DA5D8E"/>
    <w:rsid w:val="00DA69F4"/>
    <w:rsid w:val="00DA71D0"/>
    <w:rsid w:val="00DA7D1B"/>
    <w:rsid w:val="00DB00DC"/>
    <w:rsid w:val="00DB015E"/>
    <w:rsid w:val="00DB2F67"/>
    <w:rsid w:val="00DB3920"/>
    <w:rsid w:val="00DB4583"/>
    <w:rsid w:val="00DB4901"/>
    <w:rsid w:val="00DB4CC3"/>
    <w:rsid w:val="00DC0079"/>
    <w:rsid w:val="00DC0337"/>
    <w:rsid w:val="00DC0781"/>
    <w:rsid w:val="00DC08DA"/>
    <w:rsid w:val="00DC1F73"/>
    <w:rsid w:val="00DC28B5"/>
    <w:rsid w:val="00DC338E"/>
    <w:rsid w:val="00DC3824"/>
    <w:rsid w:val="00DC3999"/>
    <w:rsid w:val="00DC39A8"/>
    <w:rsid w:val="00DC44F4"/>
    <w:rsid w:val="00DC609E"/>
    <w:rsid w:val="00DC634A"/>
    <w:rsid w:val="00DD1C2B"/>
    <w:rsid w:val="00DD1EA8"/>
    <w:rsid w:val="00DD2AE4"/>
    <w:rsid w:val="00DD37FE"/>
    <w:rsid w:val="00DD40E1"/>
    <w:rsid w:val="00DD571E"/>
    <w:rsid w:val="00DD5FB7"/>
    <w:rsid w:val="00DD7593"/>
    <w:rsid w:val="00DD7D05"/>
    <w:rsid w:val="00DE10A3"/>
    <w:rsid w:val="00DE2AD5"/>
    <w:rsid w:val="00DE2D37"/>
    <w:rsid w:val="00DE52DC"/>
    <w:rsid w:val="00DE6AAD"/>
    <w:rsid w:val="00DF0B1C"/>
    <w:rsid w:val="00DF13FA"/>
    <w:rsid w:val="00DF1683"/>
    <w:rsid w:val="00DF2098"/>
    <w:rsid w:val="00DF2787"/>
    <w:rsid w:val="00DF3227"/>
    <w:rsid w:val="00DF5127"/>
    <w:rsid w:val="00DF5A48"/>
    <w:rsid w:val="00DF6E36"/>
    <w:rsid w:val="00DF6FBC"/>
    <w:rsid w:val="00DF7234"/>
    <w:rsid w:val="00DF7BE8"/>
    <w:rsid w:val="00DF7EEB"/>
    <w:rsid w:val="00E0124B"/>
    <w:rsid w:val="00E01CE1"/>
    <w:rsid w:val="00E03A25"/>
    <w:rsid w:val="00E05ECD"/>
    <w:rsid w:val="00E06019"/>
    <w:rsid w:val="00E06E65"/>
    <w:rsid w:val="00E07CDF"/>
    <w:rsid w:val="00E07E80"/>
    <w:rsid w:val="00E10DC2"/>
    <w:rsid w:val="00E13068"/>
    <w:rsid w:val="00E13400"/>
    <w:rsid w:val="00E141C1"/>
    <w:rsid w:val="00E14A11"/>
    <w:rsid w:val="00E14DDB"/>
    <w:rsid w:val="00E16D0A"/>
    <w:rsid w:val="00E200D8"/>
    <w:rsid w:val="00E2070E"/>
    <w:rsid w:val="00E211F6"/>
    <w:rsid w:val="00E21369"/>
    <w:rsid w:val="00E22238"/>
    <w:rsid w:val="00E225F5"/>
    <w:rsid w:val="00E22D55"/>
    <w:rsid w:val="00E23A2C"/>
    <w:rsid w:val="00E24858"/>
    <w:rsid w:val="00E321E3"/>
    <w:rsid w:val="00E32E4B"/>
    <w:rsid w:val="00E32F46"/>
    <w:rsid w:val="00E351BC"/>
    <w:rsid w:val="00E35662"/>
    <w:rsid w:val="00E35A6E"/>
    <w:rsid w:val="00E41F47"/>
    <w:rsid w:val="00E4271C"/>
    <w:rsid w:val="00E43E7C"/>
    <w:rsid w:val="00E50A58"/>
    <w:rsid w:val="00E50B23"/>
    <w:rsid w:val="00E50D10"/>
    <w:rsid w:val="00E50E49"/>
    <w:rsid w:val="00E512E0"/>
    <w:rsid w:val="00E5220E"/>
    <w:rsid w:val="00E546BC"/>
    <w:rsid w:val="00E54E0C"/>
    <w:rsid w:val="00E54F1C"/>
    <w:rsid w:val="00E57554"/>
    <w:rsid w:val="00E575B3"/>
    <w:rsid w:val="00E61A95"/>
    <w:rsid w:val="00E63A55"/>
    <w:rsid w:val="00E64288"/>
    <w:rsid w:val="00E656B4"/>
    <w:rsid w:val="00E65E64"/>
    <w:rsid w:val="00E67B6A"/>
    <w:rsid w:val="00E714D7"/>
    <w:rsid w:val="00E71807"/>
    <w:rsid w:val="00E72042"/>
    <w:rsid w:val="00E72A32"/>
    <w:rsid w:val="00E7402B"/>
    <w:rsid w:val="00E7517C"/>
    <w:rsid w:val="00E75837"/>
    <w:rsid w:val="00E8004B"/>
    <w:rsid w:val="00E8101B"/>
    <w:rsid w:val="00E82426"/>
    <w:rsid w:val="00E82EFB"/>
    <w:rsid w:val="00E8562D"/>
    <w:rsid w:val="00E857DE"/>
    <w:rsid w:val="00E85C89"/>
    <w:rsid w:val="00E87224"/>
    <w:rsid w:val="00E87453"/>
    <w:rsid w:val="00E91218"/>
    <w:rsid w:val="00E92106"/>
    <w:rsid w:val="00E92785"/>
    <w:rsid w:val="00E92E90"/>
    <w:rsid w:val="00E94C36"/>
    <w:rsid w:val="00E966E2"/>
    <w:rsid w:val="00E96FAC"/>
    <w:rsid w:val="00E979DC"/>
    <w:rsid w:val="00EA279F"/>
    <w:rsid w:val="00EA3611"/>
    <w:rsid w:val="00EA5050"/>
    <w:rsid w:val="00EA58C5"/>
    <w:rsid w:val="00EA59B6"/>
    <w:rsid w:val="00EA5F04"/>
    <w:rsid w:val="00EA6B61"/>
    <w:rsid w:val="00EA7433"/>
    <w:rsid w:val="00EA77C7"/>
    <w:rsid w:val="00EB02DD"/>
    <w:rsid w:val="00EB0858"/>
    <w:rsid w:val="00EB17F6"/>
    <w:rsid w:val="00EB181D"/>
    <w:rsid w:val="00EB20A1"/>
    <w:rsid w:val="00EB2B08"/>
    <w:rsid w:val="00EB41B9"/>
    <w:rsid w:val="00EB4C48"/>
    <w:rsid w:val="00EB4F17"/>
    <w:rsid w:val="00EB5117"/>
    <w:rsid w:val="00EB532D"/>
    <w:rsid w:val="00EB5C85"/>
    <w:rsid w:val="00EB66C0"/>
    <w:rsid w:val="00EB6929"/>
    <w:rsid w:val="00EB705D"/>
    <w:rsid w:val="00EB7947"/>
    <w:rsid w:val="00EC0034"/>
    <w:rsid w:val="00EC1524"/>
    <w:rsid w:val="00EC300C"/>
    <w:rsid w:val="00EC3D50"/>
    <w:rsid w:val="00EC589B"/>
    <w:rsid w:val="00EC5B1A"/>
    <w:rsid w:val="00ED01BC"/>
    <w:rsid w:val="00ED1C10"/>
    <w:rsid w:val="00ED20A6"/>
    <w:rsid w:val="00ED2C8B"/>
    <w:rsid w:val="00ED4DFF"/>
    <w:rsid w:val="00ED6456"/>
    <w:rsid w:val="00ED7654"/>
    <w:rsid w:val="00ED7D84"/>
    <w:rsid w:val="00EE0277"/>
    <w:rsid w:val="00EE4641"/>
    <w:rsid w:val="00EE4B55"/>
    <w:rsid w:val="00EE4ED4"/>
    <w:rsid w:val="00EE5F33"/>
    <w:rsid w:val="00EE6A03"/>
    <w:rsid w:val="00EE6C7C"/>
    <w:rsid w:val="00EE73E4"/>
    <w:rsid w:val="00EF0596"/>
    <w:rsid w:val="00EF05BC"/>
    <w:rsid w:val="00EF094F"/>
    <w:rsid w:val="00EF291A"/>
    <w:rsid w:val="00EF354F"/>
    <w:rsid w:val="00EF385F"/>
    <w:rsid w:val="00EF3910"/>
    <w:rsid w:val="00EF43D1"/>
    <w:rsid w:val="00EF7228"/>
    <w:rsid w:val="00EF7858"/>
    <w:rsid w:val="00EF7B21"/>
    <w:rsid w:val="00EF7F72"/>
    <w:rsid w:val="00F004C8"/>
    <w:rsid w:val="00F01017"/>
    <w:rsid w:val="00F020BF"/>
    <w:rsid w:val="00F024F7"/>
    <w:rsid w:val="00F02912"/>
    <w:rsid w:val="00F02DEC"/>
    <w:rsid w:val="00F068F6"/>
    <w:rsid w:val="00F11050"/>
    <w:rsid w:val="00F12281"/>
    <w:rsid w:val="00F12577"/>
    <w:rsid w:val="00F12F30"/>
    <w:rsid w:val="00F134F1"/>
    <w:rsid w:val="00F1497B"/>
    <w:rsid w:val="00F15C89"/>
    <w:rsid w:val="00F179CC"/>
    <w:rsid w:val="00F209FB"/>
    <w:rsid w:val="00F21332"/>
    <w:rsid w:val="00F21618"/>
    <w:rsid w:val="00F220B6"/>
    <w:rsid w:val="00F22F93"/>
    <w:rsid w:val="00F2510D"/>
    <w:rsid w:val="00F25482"/>
    <w:rsid w:val="00F25E79"/>
    <w:rsid w:val="00F26B43"/>
    <w:rsid w:val="00F26F7C"/>
    <w:rsid w:val="00F27714"/>
    <w:rsid w:val="00F2771E"/>
    <w:rsid w:val="00F27AB6"/>
    <w:rsid w:val="00F30231"/>
    <w:rsid w:val="00F30A59"/>
    <w:rsid w:val="00F33A2D"/>
    <w:rsid w:val="00F3633B"/>
    <w:rsid w:val="00F3636F"/>
    <w:rsid w:val="00F366C8"/>
    <w:rsid w:val="00F40179"/>
    <w:rsid w:val="00F42220"/>
    <w:rsid w:val="00F4271F"/>
    <w:rsid w:val="00F43AF0"/>
    <w:rsid w:val="00F47AAC"/>
    <w:rsid w:val="00F50A96"/>
    <w:rsid w:val="00F51DF3"/>
    <w:rsid w:val="00F5317E"/>
    <w:rsid w:val="00F541A3"/>
    <w:rsid w:val="00F5437E"/>
    <w:rsid w:val="00F5456D"/>
    <w:rsid w:val="00F5579F"/>
    <w:rsid w:val="00F55F29"/>
    <w:rsid w:val="00F56774"/>
    <w:rsid w:val="00F56ABA"/>
    <w:rsid w:val="00F56EDD"/>
    <w:rsid w:val="00F57A0B"/>
    <w:rsid w:val="00F60FE8"/>
    <w:rsid w:val="00F6138F"/>
    <w:rsid w:val="00F61F57"/>
    <w:rsid w:val="00F64702"/>
    <w:rsid w:val="00F65C78"/>
    <w:rsid w:val="00F6677E"/>
    <w:rsid w:val="00F70349"/>
    <w:rsid w:val="00F7154E"/>
    <w:rsid w:val="00F724B5"/>
    <w:rsid w:val="00F72768"/>
    <w:rsid w:val="00F738F5"/>
    <w:rsid w:val="00F73D28"/>
    <w:rsid w:val="00F73F05"/>
    <w:rsid w:val="00F74282"/>
    <w:rsid w:val="00F75DAD"/>
    <w:rsid w:val="00F76638"/>
    <w:rsid w:val="00F76772"/>
    <w:rsid w:val="00F775D7"/>
    <w:rsid w:val="00F811FF"/>
    <w:rsid w:val="00F81917"/>
    <w:rsid w:val="00F8195E"/>
    <w:rsid w:val="00F827DC"/>
    <w:rsid w:val="00F82FE9"/>
    <w:rsid w:val="00F83754"/>
    <w:rsid w:val="00F83BDB"/>
    <w:rsid w:val="00F8433E"/>
    <w:rsid w:val="00F84C18"/>
    <w:rsid w:val="00F917B7"/>
    <w:rsid w:val="00F93868"/>
    <w:rsid w:val="00F943FB"/>
    <w:rsid w:val="00F94F1D"/>
    <w:rsid w:val="00F97078"/>
    <w:rsid w:val="00F979B1"/>
    <w:rsid w:val="00F97E43"/>
    <w:rsid w:val="00FA0C67"/>
    <w:rsid w:val="00FA125D"/>
    <w:rsid w:val="00FA365D"/>
    <w:rsid w:val="00FA36C1"/>
    <w:rsid w:val="00FA50E6"/>
    <w:rsid w:val="00FA66F0"/>
    <w:rsid w:val="00FA7CAD"/>
    <w:rsid w:val="00FA7F29"/>
    <w:rsid w:val="00FA7FE1"/>
    <w:rsid w:val="00FB06E5"/>
    <w:rsid w:val="00FB16F5"/>
    <w:rsid w:val="00FB1F59"/>
    <w:rsid w:val="00FB26F8"/>
    <w:rsid w:val="00FB2C88"/>
    <w:rsid w:val="00FB2FF0"/>
    <w:rsid w:val="00FB3783"/>
    <w:rsid w:val="00FB5815"/>
    <w:rsid w:val="00FB5C21"/>
    <w:rsid w:val="00FB5DF9"/>
    <w:rsid w:val="00FB5F16"/>
    <w:rsid w:val="00FB61C9"/>
    <w:rsid w:val="00FB61EB"/>
    <w:rsid w:val="00FB68CD"/>
    <w:rsid w:val="00FC0101"/>
    <w:rsid w:val="00FC07D4"/>
    <w:rsid w:val="00FC07FD"/>
    <w:rsid w:val="00FC29F9"/>
    <w:rsid w:val="00FC3019"/>
    <w:rsid w:val="00FC355A"/>
    <w:rsid w:val="00FC4A5B"/>
    <w:rsid w:val="00FC58C6"/>
    <w:rsid w:val="00FC5C94"/>
    <w:rsid w:val="00FC5DAE"/>
    <w:rsid w:val="00FC608D"/>
    <w:rsid w:val="00FC62D6"/>
    <w:rsid w:val="00FD2EC6"/>
    <w:rsid w:val="00FD379E"/>
    <w:rsid w:val="00FD5B55"/>
    <w:rsid w:val="00FD6949"/>
    <w:rsid w:val="00FD79BE"/>
    <w:rsid w:val="00FE08B7"/>
    <w:rsid w:val="00FE0A5F"/>
    <w:rsid w:val="00FE2035"/>
    <w:rsid w:val="00FE3852"/>
    <w:rsid w:val="00FE4685"/>
    <w:rsid w:val="00FE4D00"/>
    <w:rsid w:val="00FE5324"/>
    <w:rsid w:val="00FE67D2"/>
    <w:rsid w:val="00FE756B"/>
    <w:rsid w:val="00FE7D26"/>
    <w:rsid w:val="00FF1173"/>
    <w:rsid w:val="00FF19A2"/>
    <w:rsid w:val="00FF2247"/>
    <w:rsid w:val="00FF31B2"/>
    <w:rsid w:val="00FF3847"/>
    <w:rsid w:val="00FF3FC1"/>
    <w:rsid w:val="00FF427D"/>
    <w:rsid w:val="00FF47ED"/>
    <w:rsid w:val="00FF55A4"/>
    <w:rsid w:val="00FF6189"/>
    <w:rsid w:val="00FF6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55B8BD"/>
  <w15:docId w15:val="{AFFE8EAB-C8FC-4206-A4EF-42BE254A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2"/>
        <w:szCs w:val="22"/>
        <w:lang w:val="en-US" w:eastAsia="en-US" w:bidi="ar-SA"/>
      </w:rPr>
    </w:rPrDefault>
    <w:pPrDefault>
      <w:pPr>
        <w:spacing w:after="120"/>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4288"/>
    <w:pPr>
      <w:spacing w:after="0"/>
      <w:jc w:val="left"/>
    </w:pPr>
  </w:style>
  <w:style w:type="paragraph" w:styleId="Heading1">
    <w:name w:val="heading 1"/>
    <w:basedOn w:val="Normal"/>
    <w:next w:val="Normal"/>
    <w:link w:val="Heading1Char"/>
    <w:qFormat/>
    <w:rsid w:val="00E22238"/>
    <w:pPr>
      <w:keepNext/>
      <w:numPr>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outlineLvl w:val="0"/>
    </w:pPr>
    <w:rPr>
      <w:rFonts w:ascii="Times New Roman" w:eastAsia="Times New Roman" w:hAnsi="Times New Roman" w:cs="Arial"/>
      <w:b/>
      <w:bCs/>
      <w:color w:val="000000"/>
      <w:kern w:val="32"/>
      <w:sz w:val="24"/>
      <w:szCs w:val="32"/>
      <w:lang w:val="ru-RU" w:eastAsia="ru-RU"/>
    </w:rPr>
  </w:style>
  <w:style w:type="paragraph" w:styleId="Heading2">
    <w:name w:val="heading 2"/>
    <w:basedOn w:val="Normal"/>
    <w:next w:val="Normal"/>
    <w:link w:val="Heading2Char"/>
    <w:qFormat/>
    <w:rsid w:val="00E22238"/>
    <w:pPr>
      <w:keepNext/>
      <w:numPr>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outlineLvl w:val="1"/>
    </w:pPr>
    <w:rPr>
      <w:rFonts w:ascii="Times New Roman" w:eastAsia="Times New Roman" w:hAnsi="Times New Roman" w:cs="Arial"/>
      <w:b/>
      <w:bCs/>
      <w:i/>
      <w:iCs/>
      <w:color w:val="000000"/>
      <w:sz w:val="24"/>
      <w:szCs w:val="28"/>
    </w:rPr>
  </w:style>
  <w:style w:type="paragraph" w:styleId="Heading3">
    <w:name w:val="heading 3"/>
    <w:basedOn w:val="Normal"/>
    <w:next w:val="Normal"/>
    <w:link w:val="Heading3Char"/>
    <w:unhideWhenUsed/>
    <w:qFormat/>
    <w:rsid w:val="00E22238"/>
    <w:pPr>
      <w:keepNext/>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before="240" w:after="60"/>
      <w:ind w:left="720" w:hanging="360"/>
      <w:outlineLvl w:val="2"/>
    </w:pPr>
    <w:rPr>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238"/>
    <w:rPr>
      <w:rFonts w:ascii="Times New Roman" w:eastAsia="Times New Roman" w:hAnsi="Times New Roman" w:cs="Arial"/>
      <w:b/>
      <w:bCs/>
      <w:color w:val="000000"/>
      <w:kern w:val="32"/>
      <w:sz w:val="24"/>
      <w:szCs w:val="32"/>
      <w:lang w:val="ru-RU" w:eastAsia="ru-RU"/>
    </w:rPr>
  </w:style>
  <w:style w:type="character" w:customStyle="1" w:styleId="Heading3Char">
    <w:name w:val="Heading 3 Char"/>
    <w:link w:val="Heading3"/>
    <w:rsid w:val="00E22238"/>
    <w:rPr>
      <w:b/>
      <w:bCs/>
      <w:color w:val="000000"/>
      <w:sz w:val="24"/>
      <w:szCs w:val="26"/>
    </w:rPr>
  </w:style>
  <w:style w:type="character" w:customStyle="1" w:styleId="Heading2Char">
    <w:name w:val="Heading 2 Char"/>
    <w:basedOn w:val="DefaultParagraphFont"/>
    <w:link w:val="Heading2"/>
    <w:rsid w:val="00E22238"/>
    <w:rPr>
      <w:rFonts w:ascii="Times New Roman" w:eastAsia="Times New Roman" w:hAnsi="Times New Roman" w:cs="Arial"/>
      <w:b/>
      <w:bCs/>
      <w:i/>
      <w:iCs/>
      <w:color w:val="000000"/>
      <w:sz w:val="24"/>
      <w:szCs w:val="28"/>
    </w:rPr>
  </w:style>
  <w:style w:type="paragraph" w:styleId="TOC2">
    <w:name w:val="toc 2"/>
    <w:basedOn w:val="Normal"/>
    <w:next w:val="Normal"/>
    <w:autoRedefine/>
    <w:uiPriority w:val="39"/>
    <w:unhideWhenUsed/>
    <w:qFormat/>
    <w:rsid w:val="00E22238"/>
    <w:pPr>
      <w:autoSpaceDE w:val="0"/>
      <w:autoSpaceDN w:val="0"/>
      <w:adjustRightInd w:val="0"/>
      <w:ind w:left="240"/>
    </w:pPr>
    <w:rPr>
      <w:rFonts w:ascii="Times New Roman" w:eastAsia="Times New Roman" w:hAnsi="Times New Roman" w:cstheme="minorHAnsi"/>
      <w:b/>
      <w:color w:val="000000"/>
      <w:szCs w:val="20"/>
    </w:rPr>
  </w:style>
  <w:style w:type="paragraph" w:styleId="TOC1">
    <w:name w:val="toc 1"/>
    <w:basedOn w:val="Normal"/>
    <w:next w:val="Normal"/>
    <w:autoRedefine/>
    <w:uiPriority w:val="39"/>
    <w:unhideWhenUsed/>
    <w:qFormat/>
    <w:rsid w:val="00E22238"/>
    <w:pPr>
      <w:autoSpaceDE w:val="0"/>
      <w:autoSpaceDN w:val="0"/>
      <w:adjustRightInd w:val="0"/>
      <w:spacing w:before="120"/>
    </w:pPr>
    <w:rPr>
      <w:rFonts w:ascii="Times New Roman" w:eastAsia="Times New Roman" w:hAnsi="Times New Roman" w:cstheme="minorHAnsi"/>
      <w:b/>
      <w:bCs/>
      <w:caps/>
      <w:color w:val="000000"/>
      <w:szCs w:val="20"/>
    </w:rPr>
  </w:style>
  <w:style w:type="paragraph" w:styleId="TOC3">
    <w:name w:val="toc 3"/>
    <w:basedOn w:val="Normal"/>
    <w:next w:val="Normal"/>
    <w:autoRedefine/>
    <w:uiPriority w:val="39"/>
    <w:unhideWhenUsed/>
    <w:qFormat/>
    <w:rsid w:val="00E22238"/>
    <w:pPr>
      <w:autoSpaceDE w:val="0"/>
      <w:autoSpaceDN w:val="0"/>
      <w:adjustRightInd w:val="0"/>
      <w:ind w:left="480"/>
    </w:pPr>
    <w:rPr>
      <w:rFonts w:ascii="Times New Roman" w:eastAsia="Times New Roman" w:hAnsi="Times New Roman" w:cstheme="minorHAnsi"/>
      <w:i/>
      <w:iCs/>
      <w:color w:val="000000"/>
      <w:szCs w:val="20"/>
    </w:rPr>
  </w:style>
  <w:style w:type="paragraph" w:styleId="FootnoteText">
    <w:name w:val="footnote text"/>
    <w:basedOn w:val="Normal"/>
    <w:link w:val="FootnoteTextChar"/>
    <w:semiHidden/>
    <w:rsid w:val="00E64288"/>
    <w:rPr>
      <w:sz w:val="20"/>
      <w:szCs w:val="20"/>
    </w:rPr>
  </w:style>
  <w:style w:type="character" w:customStyle="1" w:styleId="FootnoteTextChar">
    <w:name w:val="Footnote Text Char"/>
    <w:basedOn w:val="DefaultParagraphFont"/>
    <w:link w:val="FootnoteText"/>
    <w:semiHidden/>
    <w:rsid w:val="00E64288"/>
    <w:rPr>
      <w:rFonts w:ascii="Times New Roman" w:eastAsia="Times New Roman" w:hAnsi="Times New Roman" w:cs="Times New Roman"/>
      <w:sz w:val="20"/>
      <w:szCs w:val="20"/>
      <w:lang w:val="en-GB"/>
    </w:rPr>
  </w:style>
  <w:style w:type="character" w:styleId="FootnoteReference">
    <w:name w:val="footnote reference"/>
    <w:uiPriority w:val="99"/>
    <w:rsid w:val="00E64288"/>
    <w:rPr>
      <w:vertAlign w:val="superscript"/>
    </w:rPr>
  </w:style>
  <w:style w:type="character" w:styleId="Hyperlink">
    <w:name w:val="Hyperlink"/>
    <w:uiPriority w:val="99"/>
    <w:rsid w:val="00E64288"/>
    <w:rPr>
      <w:color w:val="0000FF"/>
      <w:u w:val="single"/>
    </w:rPr>
  </w:style>
  <w:style w:type="paragraph" w:styleId="Header">
    <w:name w:val="header"/>
    <w:basedOn w:val="Normal"/>
    <w:link w:val="HeaderChar"/>
    <w:rsid w:val="00E64288"/>
    <w:pPr>
      <w:tabs>
        <w:tab w:val="center" w:pos="4703"/>
        <w:tab w:val="right" w:pos="9406"/>
      </w:tabs>
    </w:pPr>
  </w:style>
  <w:style w:type="character" w:customStyle="1" w:styleId="HeaderChar">
    <w:name w:val="Header Char"/>
    <w:basedOn w:val="DefaultParagraphFont"/>
    <w:link w:val="Header"/>
    <w:rsid w:val="00E64288"/>
    <w:rPr>
      <w:rFonts w:ascii="Times New Roman" w:eastAsia="Times New Roman" w:hAnsi="Times New Roman" w:cs="Times New Roman"/>
      <w:sz w:val="24"/>
      <w:szCs w:val="24"/>
      <w:lang w:val="en-GB"/>
    </w:rPr>
  </w:style>
  <w:style w:type="character" w:styleId="PageNumber">
    <w:name w:val="page number"/>
    <w:basedOn w:val="DefaultParagraphFont"/>
    <w:rsid w:val="00E64288"/>
  </w:style>
  <w:style w:type="character" w:styleId="Strong">
    <w:name w:val="Strong"/>
    <w:qFormat/>
    <w:rsid w:val="00E64288"/>
    <w:rPr>
      <w:b/>
      <w:bCs/>
    </w:rPr>
  </w:style>
  <w:style w:type="paragraph" w:customStyle="1" w:styleId="yiv1591095828ecxmsonormal">
    <w:name w:val="yiv1591095828ecxmsonormal"/>
    <w:basedOn w:val="Normal"/>
    <w:rsid w:val="00E64288"/>
    <w:pPr>
      <w:spacing w:before="100" w:beforeAutospacing="1" w:after="100" w:afterAutospacing="1"/>
    </w:pPr>
  </w:style>
  <w:style w:type="paragraph" w:styleId="NormalWeb">
    <w:name w:val="Normal (Web)"/>
    <w:basedOn w:val="Normal"/>
    <w:uiPriority w:val="99"/>
    <w:rsid w:val="00E64288"/>
    <w:pPr>
      <w:spacing w:before="100" w:beforeAutospacing="1" w:after="100" w:afterAutospacing="1"/>
    </w:pPr>
  </w:style>
  <w:style w:type="paragraph" w:customStyle="1" w:styleId="yiv2019379139msonormal">
    <w:name w:val="yiv2019379139msonormal"/>
    <w:basedOn w:val="Normal"/>
    <w:rsid w:val="00E64288"/>
    <w:pPr>
      <w:spacing w:before="100" w:beforeAutospacing="1" w:after="100" w:afterAutospacing="1"/>
    </w:pPr>
  </w:style>
  <w:style w:type="paragraph" w:customStyle="1" w:styleId="yiv353812747msonormal">
    <w:name w:val="yiv353812747msonormal"/>
    <w:basedOn w:val="Normal"/>
    <w:rsid w:val="00E64288"/>
    <w:pPr>
      <w:spacing w:before="100" w:beforeAutospacing="1" w:after="100" w:afterAutospacing="1"/>
    </w:pPr>
  </w:style>
  <w:style w:type="character" w:styleId="CommentReference">
    <w:name w:val="annotation reference"/>
    <w:semiHidden/>
    <w:rsid w:val="00E64288"/>
    <w:rPr>
      <w:sz w:val="16"/>
      <w:szCs w:val="16"/>
    </w:rPr>
  </w:style>
  <w:style w:type="paragraph" w:styleId="CommentText">
    <w:name w:val="annotation text"/>
    <w:basedOn w:val="Normal"/>
    <w:link w:val="CommentTextChar"/>
    <w:semiHidden/>
    <w:rsid w:val="00E64288"/>
    <w:rPr>
      <w:sz w:val="20"/>
      <w:szCs w:val="20"/>
    </w:rPr>
  </w:style>
  <w:style w:type="character" w:customStyle="1" w:styleId="CommentTextChar">
    <w:name w:val="Comment Text Char"/>
    <w:basedOn w:val="DefaultParagraphFont"/>
    <w:link w:val="CommentText"/>
    <w:semiHidden/>
    <w:rsid w:val="00E6428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E64288"/>
    <w:rPr>
      <w:b/>
      <w:bCs/>
    </w:rPr>
  </w:style>
  <w:style w:type="character" w:customStyle="1" w:styleId="CommentSubjectChar">
    <w:name w:val="Comment Subject Char"/>
    <w:basedOn w:val="CommentTextChar"/>
    <w:link w:val="CommentSubject"/>
    <w:semiHidden/>
    <w:rsid w:val="00E64288"/>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rsid w:val="00E64288"/>
    <w:rPr>
      <w:rFonts w:cs="Tahoma"/>
      <w:sz w:val="16"/>
      <w:szCs w:val="16"/>
    </w:rPr>
  </w:style>
  <w:style w:type="character" w:customStyle="1" w:styleId="BalloonTextChar">
    <w:name w:val="Balloon Text Char"/>
    <w:basedOn w:val="DefaultParagraphFont"/>
    <w:link w:val="BalloonText"/>
    <w:semiHidden/>
    <w:rsid w:val="00E64288"/>
    <w:rPr>
      <w:rFonts w:eastAsia="Times New Roman" w:cs="Tahoma"/>
      <w:sz w:val="16"/>
      <w:szCs w:val="16"/>
      <w:lang w:val="en-GB"/>
    </w:rPr>
  </w:style>
  <w:style w:type="table" w:styleId="TableGrid">
    <w:name w:val="Table Grid"/>
    <w:basedOn w:val="TableNormal"/>
    <w:rsid w:val="00E64288"/>
    <w:pPr>
      <w:spacing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64288"/>
    <w:pPr>
      <w:tabs>
        <w:tab w:val="center" w:pos="4703"/>
        <w:tab w:val="right" w:pos="9406"/>
      </w:tabs>
    </w:pPr>
  </w:style>
  <w:style w:type="character" w:customStyle="1" w:styleId="FooterChar">
    <w:name w:val="Footer Char"/>
    <w:basedOn w:val="DefaultParagraphFont"/>
    <w:link w:val="Footer"/>
    <w:rsid w:val="00E64288"/>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E64288"/>
    <w:pPr>
      <w:ind w:left="720"/>
    </w:pPr>
  </w:style>
  <w:style w:type="character" w:styleId="FollowedHyperlink">
    <w:name w:val="FollowedHyperlink"/>
    <w:rsid w:val="00E64288"/>
    <w:rPr>
      <w:color w:val="800080"/>
      <w:u w:val="single"/>
    </w:rPr>
  </w:style>
  <w:style w:type="character" w:customStyle="1" w:styleId="st1">
    <w:name w:val="st1"/>
    <w:basedOn w:val="DefaultParagraphFont"/>
    <w:rsid w:val="00E64288"/>
  </w:style>
  <w:style w:type="character" w:customStyle="1" w:styleId="apple-style-span">
    <w:name w:val="apple-style-span"/>
    <w:basedOn w:val="DefaultParagraphFont"/>
    <w:rsid w:val="00E64288"/>
  </w:style>
  <w:style w:type="character" w:customStyle="1" w:styleId="mw-headline">
    <w:name w:val="mw-headline"/>
    <w:basedOn w:val="DefaultParagraphFont"/>
    <w:rsid w:val="00E64288"/>
  </w:style>
  <w:style w:type="character" w:styleId="HTMLCite">
    <w:name w:val="HTML Cite"/>
    <w:rsid w:val="00E64288"/>
    <w:rPr>
      <w:i w:val="0"/>
      <w:iCs w:val="0"/>
      <w:color w:val="009933"/>
    </w:rPr>
  </w:style>
  <w:style w:type="paragraph" w:customStyle="1" w:styleId="CharCharCarCharCarCharCarCharCarCharCharChar">
    <w:name w:val="Char Char Car Char Car Char Car Char Car Char Char Char"/>
    <w:basedOn w:val="Normal"/>
    <w:rsid w:val="00E64288"/>
    <w:pPr>
      <w:autoSpaceDE w:val="0"/>
      <w:autoSpaceDN w:val="0"/>
      <w:spacing w:after="160" w:afterAutospacing="1" w:line="240" w:lineRule="exact"/>
    </w:pPr>
    <w:rPr>
      <w:rFonts w:ascii="Arial" w:hAnsi="Arial" w:cs="Arial"/>
      <w:sz w:val="20"/>
      <w:szCs w:val="20"/>
    </w:rPr>
  </w:style>
  <w:style w:type="paragraph" w:styleId="Revision">
    <w:name w:val="Revision"/>
    <w:hidden/>
    <w:uiPriority w:val="99"/>
    <w:semiHidden/>
    <w:rsid w:val="00A56535"/>
    <w:pPr>
      <w:spacing w:after="0"/>
      <w:jc w:val="left"/>
    </w:pPr>
  </w:style>
  <w:style w:type="character" w:customStyle="1" w:styleId="st">
    <w:name w:val="st"/>
    <w:basedOn w:val="DefaultParagraphFont"/>
    <w:rsid w:val="005F2169"/>
  </w:style>
  <w:style w:type="paragraph" w:styleId="NoSpacing">
    <w:name w:val="No Spacing"/>
    <w:uiPriority w:val="1"/>
    <w:qFormat/>
    <w:rsid w:val="000358F4"/>
    <w:pPr>
      <w:spacing w:after="0"/>
      <w:jc w:val="left"/>
    </w:pPr>
  </w:style>
  <w:style w:type="character" w:styleId="UnresolvedMention">
    <w:name w:val="Unresolved Mention"/>
    <w:basedOn w:val="DefaultParagraphFont"/>
    <w:uiPriority w:val="99"/>
    <w:semiHidden/>
    <w:unhideWhenUsed/>
    <w:rsid w:val="004C082E"/>
    <w:rPr>
      <w:color w:val="605E5C"/>
      <w:shd w:val="clear" w:color="auto" w:fill="E1DFDD"/>
    </w:rPr>
  </w:style>
  <w:style w:type="paragraph" w:customStyle="1" w:styleId="wordsection1">
    <w:name w:val="wordsection1"/>
    <w:basedOn w:val="Normal"/>
    <w:uiPriority w:val="99"/>
    <w:rsid w:val="009D5C14"/>
    <w:pPr>
      <w:spacing w:before="100" w:beforeAutospacing="1" w:after="100" w:afterAutospacing="1"/>
    </w:pPr>
    <w:rPr>
      <w:rFonts w:ascii="Times New Roman" w:hAnsi="Times New Roman" w:cs="Times New Roman"/>
      <w:sz w:val="24"/>
      <w:szCs w:val="24"/>
      <w:lang w:val="fr-FR" w:eastAsia="ru-RU"/>
    </w:rPr>
  </w:style>
  <w:style w:type="paragraph" w:customStyle="1" w:styleId="Default">
    <w:name w:val="Default"/>
    <w:rsid w:val="00A8493D"/>
    <w:pPr>
      <w:autoSpaceDE w:val="0"/>
      <w:autoSpaceDN w:val="0"/>
      <w:adjustRightInd w:val="0"/>
      <w:spacing w:after="0"/>
      <w:jc w:val="left"/>
    </w:pPr>
    <w:rPr>
      <w:rFonts w:cs="Tahoma"/>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6074">
      <w:bodyDiv w:val="1"/>
      <w:marLeft w:val="0"/>
      <w:marRight w:val="0"/>
      <w:marTop w:val="0"/>
      <w:marBottom w:val="0"/>
      <w:divBdr>
        <w:top w:val="none" w:sz="0" w:space="0" w:color="auto"/>
        <w:left w:val="none" w:sz="0" w:space="0" w:color="auto"/>
        <w:bottom w:val="none" w:sz="0" w:space="0" w:color="auto"/>
        <w:right w:val="none" w:sz="0" w:space="0" w:color="auto"/>
      </w:divBdr>
    </w:div>
    <w:div w:id="43800824">
      <w:bodyDiv w:val="1"/>
      <w:marLeft w:val="0"/>
      <w:marRight w:val="0"/>
      <w:marTop w:val="0"/>
      <w:marBottom w:val="0"/>
      <w:divBdr>
        <w:top w:val="none" w:sz="0" w:space="0" w:color="auto"/>
        <w:left w:val="none" w:sz="0" w:space="0" w:color="auto"/>
        <w:bottom w:val="none" w:sz="0" w:space="0" w:color="auto"/>
        <w:right w:val="none" w:sz="0" w:space="0" w:color="auto"/>
      </w:divBdr>
    </w:div>
    <w:div w:id="73627047">
      <w:bodyDiv w:val="1"/>
      <w:marLeft w:val="0"/>
      <w:marRight w:val="0"/>
      <w:marTop w:val="0"/>
      <w:marBottom w:val="0"/>
      <w:divBdr>
        <w:top w:val="none" w:sz="0" w:space="0" w:color="auto"/>
        <w:left w:val="none" w:sz="0" w:space="0" w:color="auto"/>
        <w:bottom w:val="none" w:sz="0" w:space="0" w:color="auto"/>
        <w:right w:val="none" w:sz="0" w:space="0" w:color="auto"/>
      </w:divBdr>
    </w:div>
    <w:div w:id="81032709">
      <w:bodyDiv w:val="1"/>
      <w:marLeft w:val="0"/>
      <w:marRight w:val="0"/>
      <w:marTop w:val="0"/>
      <w:marBottom w:val="0"/>
      <w:divBdr>
        <w:top w:val="none" w:sz="0" w:space="0" w:color="auto"/>
        <w:left w:val="none" w:sz="0" w:space="0" w:color="auto"/>
        <w:bottom w:val="none" w:sz="0" w:space="0" w:color="auto"/>
        <w:right w:val="none" w:sz="0" w:space="0" w:color="auto"/>
      </w:divBdr>
    </w:div>
    <w:div w:id="111023918">
      <w:bodyDiv w:val="1"/>
      <w:marLeft w:val="0"/>
      <w:marRight w:val="0"/>
      <w:marTop w:val="0"/>
      <w:marBottom w:val="0"/>
      <w:divBdr>
        <w:top w:val="none" w:sz="0" w:space="0" w:color="auto"/>
        <w:left w:val="none" w:sz="0" w:space="0" w:color="auto"/>
        <w:bottom w:val="none" w:sz="0" w:space="0" w:color="auto"/>
        <w:right w:val="none" w:sz="0" w:space="0" w:color="auto"/>
      </w:divBdr>
    </w:div>
    <w:div w:id="135463134">
      <w:bodyDiv w:val="1"/>
      <w:marLeft w:val="0"/>
      <w:marRight w:val="0"/>
      <w:marTop w:val="0"/>
      <w:marBottom w:val="0"/>
      <w:divBdr>
        <w:top w:val="none" w:sz="0" w:space="0" w:color="auto"/>
        <w:left w:val="none" w:sz="0" w:space="0" w:color="auto"/>
        <w:bottom w:val="none" w:sz="0" w:space="0" w:color="auto"/>
        <w:right w:val="none" w:sz="0" w:space="0" w:color="auto"/>
      </w:divBdr>
    </w:div>
    <w:div w:id="172765293">
      <w:bodyDiv w:val="1"/>
      <w:marLeft w:val="0"/>
      <w:marRight w:val="0"/>
      <w:marTop w:val="0"/>
      <w:marBottom w:val="0"/>
      <w:divBdr>
        <w:top w:val="none" w:sz="0" w:space="0" w:color="auto"/>
        <w:left w:val="none" w:sz="0" w:space="0" w:color="auto"/>
        <w:bottom w:val="none" w:sz="0" w:space="0" w:color="auto"/>
        <w:right w:val="none" w:sz="0" w:space="0" w:color="auto"/>
      </w:divBdr>
    </w:div>
    <w:div w:id="186332252">
      <w:bodyDiv w:val="1"/>
      <w:marLeft w:val="0"/>
      <w:marRight w:val="0"/>
      <w:marTop w:val="0"/>
      <w:marBottom w:val="0"/>
      <w:divBdr>
        <w:top w:val="none" w:sz="0" w:space="0" w:color="auto"/>
        <w:left w:val="none" w:sz="0" w:space="0" w:color="auto"/>
        <w:bottom w:val="none" w:sz="0" w:space="0" w:color="auto"/>
        <w:right w:val="none" w:sz="0" w:space="0" w:color="auto"/>
      </w:divBdr>
    </w:div>
    <w:div w:id="193160112">
      <w:bodyDiv w:val="1"/>
      <w:marLeft w:val="0"/>
      <w:marRight w:val="0"/>
      <w:marTop w:val="0"/>
      <w:marBottom w:val="0"/>
      <w:divBdr>
        <w:top w:val="none" w:sz="0" w:space="0" w:color="auto"/>
        <w:left w:val="none" w:sz="0" w:space="0" w:color="auto"/>
        <w:bottom w:val="none" w:sz="0" w:space="0" w:color="auto"/>
        <w:right w:val="none" w:sz="0" w:space="0" w:color="auto"/>
      </w:divBdr>
      <w:divsChild>
        <w:div w:id="2133285297">
          <w:marLeft w:val="0"/>
          <w:marRight w:val="0"/>
          <w:marTop w:val="0"/>
          <w:marBottom w:val="0"/>
          <w:divBdr>
            <w:top w:val="none" w:sz="0" w:space="0" w:color="auto"/>
            <w:left w:val="none" w:sz="0" w:space="0" w:color="auto"/>
            <w:bottom w:val="none" w:sz="0" w:space="0" w:color="auto"/>
            <w:right w:val="none" w:sz="0" w:space="0" w:color="auto"/>
          </w:divBdr>
          <w:divsChild>
            <w:div w:id="596602117">
              <w:marLeft w:val="0"/>
              <w:marRight w:val="0"/>
              <w:marTop w:val="525"/>
              <w:marBottom w:val="0"/>
              <w:divBdr>
                <w:top w:val="none" w:sz="0" w:space="0" w:color="auto"/>
                <w:left w:val="none" w:sz="0" w:space="0" w:color="auto"/>
                <w:bottom w:val="none" w:sz="0" w:space="0" w:color="auto"/>
                <w:right w:val="none" w:sz="0" w:space="0" w:color="auto"/>
              </w:divBdr>
              <w:divsChild>
                <w:div w:id="1577400438">
                  <w:marLeft w:val="0"/>
                  <w:marRight w:val="0"/>
                  <w:marTop w:val="0"/>
                  <w:marBottom w:val="0"/>
                  <w:divBdr>
                    <w:top w:val="none" w:sz="0" w:space="0" w:color="auto"/>
                    <w:left w:val="none" w:sz="0" w:space="0" w:color="auto"/>
                    <w:bottom w:val="none" w:sz="0" w:space="0" w:color="auto"/>
                    <w:right w:val="none" w:sz="0" w:space="0" w:color="auto"/>
                  </w:divBdr>
                  <w:divsChild>
                    <w:div w:id="1501576018">
                      <w:marLeft w:val="0"/>
                      <w:marRight w:val="300"/>
                      <w:marTop w:val="0"/>
                      <w:marBottom w:val="0"/>
                      <w:divBdr>
                        <w:top w:val="none" w:sz="0" w:space="0" w:color="auto"/>
                        <w:left w:val="none" w:sz="0" w:space="0" w:color="auto"/>
                        <w:bottom w:val="none" w:sz="0" w:space="0" w:color="auto"/>
                        <w:right w:val="none" w:sz="0" w:space="0" w:color="auto"/>
                      </w:divBdr>
                      <w:divsChild>
                        <w:div w:id="593786560">
                          <w:marLeft w:val="0"/>
                          <w:marRight w:val="0"/>
                          <w:marTop w:val="0"/>
                          <w:marBottom w:val="0"/>
                          <w:divBdr>
                            <w:top w:val="none" w:sz="0" w:space="0" w:color="auto"/>
                            <w:left w:val="none" w:sz="0" w:space="0" w:color="auto"/>
                            <w:bottom w:val="none" w:sz="0" w:space="0" w:color="auto"/>
                            <w:right w:val="none" w:sz="0" w:space="0" w:color="auto"/>
                          </w:divBdr>
                          <w:divsChild>
                            <w:div w:id="9976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495223">
      <w:bodyDiv w:val="1"/>
      <w:marLeft w:val="0"/>
      <w:marRight w:val="0"/>
      <w:marTop w:val="0"/>
      <w:marBottom w:val="0"/>
      <w:divBdr>
        <w:top w:val="none" w:sz="0" w:space="0" w:color="auto"/>
        <w:left w:val="none" w:sz="0" w:space="0" w:color="auto"/>
        <w:bottom w:val="none" w:sz="0" w:space="0" w:color="auto"/>
        <w:right w:val="none" w:sz="0" w:space="0" w:color="auto"/>
      </w:divBdr>
    </w:div>
    <w:div w:id="280844210">
      <w:bodyDiv w:val="1"/>
      <w:marLeft w:val="0"/>
      <w:marRight w:val="0"/>
      <w:marTop w:val="0"/>
      <w:marBottom w:val="0"/>
      <w:divBdr>
        <w:top w:val="none" w:sz="0" w:space="0" w:color="auto"/>
        <w:left w:val="none" w:sz="0" w:space="0" w:color="auto"/>
        <w:bottom w:val="none" w:sz="0" w:space="0" w:color="auto"/>
        <w:right w:val="none" w:sz="0" w:space="0" w:color="auto"/>
      </w:divBdr>
    </w:div>
    <w:div w:id="302853337">
      <w:bodyDiv w:val="1"/>
      <w:marLeft w:val="0"/>
      <w:marRight w:val="0"/>
      <w:marTop w:val="0"/>
      <w:marBottom w:val="0"/>
      <w:divBdr>
        <w:top w:val="none" w:sz="0" w:space="0" w:color="auto"/>
        <w:left w:val="none" w:sz="0" w:space="0" w:color="auto"/>
        <w:bottom w:val="none" w:sz="0" w:space="0" w:color="auto"/>
        <w:right w:val="none" w:sz="0" w:space="0" w:color="auto"/>
      </w:divBdr>
    </w:div>
    <w:div w:id="368530517">
      <w:bodyDiv w:val="1"/>
      <w:marLeft w:val="0"/>
      <w:marRight w:val="0"/>
      <w:marTop w:val="0"/>
      <w:marBottom w:val="0"/>
      <w:divBdr>
        <w:top w:val="none" w:sz="0" w:space="0" w:color="auto"/>
        <w:left w:val="none" w:sz="0" w:space="0" w:color="auto"/>
        <w:bottom w:val="none" w:sz="0" w:space="0" w:color="auto"/>
        <w:right w:val="none" w:sz="0" w:space="0" w:color="auto"/>
      </w:divBdr>
    </w:div>
    <w:div w:id="379323279">
      <w:bodyDiv w:val="1"/>
      <w:marLeft w:val="0"/>
      <w:marRight w:val="0"/>
      <w:marTop w:val="0"/>
      <w:marBottom w:val="0"/>
      <w:divBdr>
        <w:top w:val="none" w:sz="0" w:space="0" w:color="auto"/>
        <w:left w:val="none" w:sz="0" w:space="0" w:color="auto"/>
        <w:bottom w:val="none" w:sz="0" w:space="0" w:color="auto"/>
        <w:right w:val="none" w:sz="0" w:space="0" w:color="auto"/>
      </w:divBdr>
    </w:div>
    <w:div w:id="520321418">
      <w:bodyDiv w:val="1"/>
      <w:marLeft w:val="0"/>
      <w:marRight w:val="0"/>
      <w:marTop w:val="0"/>
      <w:marBottom w:val="0"/>
      <w:divBdr>
        <w:top w:val="none" w:sz="0" w:space="0" w:color="auto"/>
        <w:left w:val="none" w:sz="0" w:space="0" w:color="auto"/>
        <w:bottom w:val="none" w:sz="0" w:space="0" w:color="auto"/>
        <w:right w:val="none" w:sz="0" w:space="0" w:color="auto"/>
      </w:divBdr>
    </w:div>
    <w:div w:id="538710256">
      <w:bodyDiv w:val="1"/>
      <w:marLeft w:val="0"/>
      <w:marRight w:val="0"/>
      <w:marTop w:val="0"/>
      <w:marBottom w:val="0"/>
      <w:divBdr>
        <w:top w:val="none" w:sz="0" w:space="0" w:color="auto"/>
        <w:left w:val="none" w:sz="0" w:space="0" w:color="auto"/>
        <w:bottom w:val="none" w:sz="0" w:space="0" w:color="auto"/>
        <w:right w:val="none" w:sz="0" w:space="0" w:color="auto"/>
      </w:divBdr>
    </w:div>
    <w:div w:id="560336331">
      <w:bodyDiv w:val="1"/>
      <w:marLeft w:val="0"/>
      <w:marRight w:val="0"/>
      <w:marTop w:val="0"/>
      <w:marBottom w:val="0"/>
      <w:divBdr>
        <w:top w:val="none" w:sz="0" w:space="0" w:color="auto"/>
        <w:left w:val="none" w:sz="0" w:space="0" w:color="auto"/>
        <w:bottom w:val="none" w:sz="0" w:space="0" w:color="auto"/>
        <w:right w:val="none" w:sz="0" w:space="0" w:color="auto"/>
      </w:divBdr>
    </w:div>
    <w:div w:id="578833709">
      <w:bodyDiv w:val="1"/>
      <w:marLeft w:val="0"/>
      <w:marRight w:val="0"/>
      <w:marTop w:val="0"/>
      <w:marBottom w:val="0"/>
      <w:divBdr>
        <w:top w:val="none" w:sz="0" w:space="0" w:color="auto"/>
        <w:left w:val="none" w:sz="0" w:space="0" w:color="auto"/>
        <w:bottom w:val="none" w:sz="0" w:space="0" w:color="auto"/>
        <w:right w:val="none" w:sz="0" w:space="0" w:color="auto"/>
      </w:divBdr>
    </w:div>
    <w:div w:id="589772910">
      <w:bodyDiv w:val="1"/>
      <w:marLeft w:val="0"/>
      <w:marRight w:val="0"/>
      <w:marTop w:val="0"/>
      <w:marBottom w:val="0"/>
      <w:divBdr>
        <w:top w:val="none" w:sz="0" w:space="0" w:color="auto"/>
        <w:left w:val="none" w:sz="0" w:space="0" w:color="auto"/>
        <w:bottom w:val="none" w:sz="0" w:space="0" w:color="auto"/>
        <w:right w:val="none" w:sz="0" w:space="0" w:color="auto"/>
      </w:divBdr>
    </w:div>
    <w:div w:id="632829343">
      <w:bodyDiv w:val="1"/>
      <w:marLeft w:val="0"/>
      <w:marRight w:val="0"/>
      <w:marTop w:val="0"/>
      <w:marBottom w:val="0"/>
      <w:divBdr>
        <w:top w:val="none" w:sz="0" w:space="0" w:color="auto"/>
        <w:left w:val="none" w:sz="0" w:space="0" w:color="auto"/>
        <w:bottom w:val="none" w:sz="0" w:space="0" w:color="auto"/>
        <w:right w:val="none" w:sz="0" w:space="0" w:color="auto"/>
      </w:divBdr>
    </w:div>
    <w:div w:id="662969196">
      <w:bodyDiv w:val="1"/>
      <w:marLeft w:val="0"/>
      <w:marRight w:val="0"/>
      <w:marTop w:val="0"/>
      <w:marBottom w:val="0"/>
      <w:divBdr>
        <w:top w:val="none" w:sz="0" w:space="0" w:color="auto"/>
        <w:left w:val="none" w:sz="0" w:space="0" w:color="auto"/>
        <w:bottom w:val="none" w:sz="0" w:space="0" w:color="auto"/>
        <w:right w:val="none" w:sz="0" w:space="0" w:color="auto"/>
      </w:divBdr>
    </w:div>
    <w:div w:id="728647301">
      <w:bodyDiv w:val="1"/>
      <w:marLeft w:val="0"/>
      <w:marRight w:val="0"/>
      <w:marTop w:val="0"/>
      <w:marBottom w:val="0"/>
      <w:divBdr>
        <w:top w:val="none" w:sz="0" w:space="0" w:color="auto"/>
        <w:left w:val="none" w:sz="0" w:space="0" w:color="auto"/>
        <w:bottom w:val="none" w:sz="0" w:space="0" w:color="auto"/>
        <w:right w:val="none" w:sz="0" w:space="0" w:color="auto"/>
      </w:divBdr>
    </w:div>
    <w:div w:id="785544521">
      <w:bodyDiv w:val="1"/>
      <w:marLeft w:val="0"/>
      <w:marRight w:val="0"/>
      <w:marTop w:val="0"/>
      <w:marBottom w:val="0"/>
      <w:divBdr>
        <w:top w:val="none" w:sz="0" w:space="0" w:color="auto"/>
        <w:left w:val="none" w:sz="0" w:space="0" w:color="auto"/>
        <w:bottom w:val="none" w:sz="0" w:space="0" w:color="auto"/>
        <w:right w:val="none" w:sz="0" w:space="0" w:color="auto"/>
      </w:divBdr>
    </w:div>
    <w:div w:id="811286702">
      <w:bodyDiv w:val="1"/>
      <w:marLeft w:val="0"/>
      <w:marRight w:val="0"/>
      <w:marTop w:val="0"/>
      <w:marBottom w:val="0"/>
      <w:divBdr>
        <w:top w:val="none" w:sz="0" w:space="0" w:color="auto"/>
        <w:left w:val="none" w:sz="0" w:space="0" w:color="auto"/>
        <w:bottom w:val="none" w:sz="0" w:space="0" w:color="auto"/>
        <w:right w:val="none" w:sz="0" w:space="0" w:color="auto"/>
      </w:divBdr>
    </w:div>
    <w:div w:id="815683237">
      <w:bodyDiv w:val="1"/>
      <w:marLeft w:val="0"/>
      <w:marRight w:val="0"/>
      <w:marTop w:val="0"/>
      <w:marBottom w:val="0"/>
      <w:divBdr>
        <w:top w:val="none" w:sz="0" w:space="0" w:color="auto"/>
        <w:left w:val="none" w:sz="0" w:space="0" w:color="auto"/>
        <w:bottom w:val="none" w:sz="0" w:space="0" w:color="auto"/>
        <w:right w:val="none" w:sz="0" w:space="0" w:color="auto"/>
      </w:divBdr>
    </w:div>
    <w:div w:id="848256227">
      <w:bodyDiv w:val="1"/>
      <w:marLeft w:val="0"/>
      <w:marRight w:val="0"/>
      <w:marTop w:val="0"/>
      <w:marBottom w:val="0"/>
      <w:divBdr>
        <w:top w:val="none" w:sz="0" w:space="0" w:color="auto"/>
        <w:left w:val="none" w:sz="0" w:space="0" w:color="auto"/>
        <w:bottom w:val="none" w:sz="0" w:space="0" w:color="auto"/>
        <w:right w:val="none" w:sz="0" w:space="0" w:color="auto"/>
      </w:divBdr>
    </w:div>
    <w:div w:id="884097796">
      <w:bodyDiv w:val="1"/>
      <w:marLeft w:val="0"/>
      <w:marRight w:val="0"/>
      <w:marTop w:val="0"/>
      <w:marBottom w:val="0"/>
      <w:divBdr>
        <w:top w:val="none" w:sz="0" w:space="0" w:color="auto"/>
        <w:left w:val="none" w:sz="0" w:space="0" w:color="auto"/>
        <w:bottom w:val="none" w:sz="0" w:space="0" w:color="auto"/>
        <w:right w:val="none" w:sz="0" w:space="0" w:color="auto"/>
      </w:divBdr>
    </w:div>
    <w:div w:id="989943324">
      <w:bodyDiv w:val="1"/>
      <w:marLeft w:val="0"/>
      <w:marRight w:val="0"/>
      <w:marTop w:val="0"/>
      <w:marBottom w:val="0"/>
      <w:divBdr>
        <w:top w:val="none" w:sz="0" w:space="0" w:color="auto"/>
        <w:left w:val="none" w:sz="0" w:space="0" w:color="auto"/>
        <w:bottom w:val="none" w:sz="0" w:space="0" w:color="auto"/>
        <w:right w:val="none" w:sz="0" w:space="0" w:color="auto"/>
      </w:divBdr>
    </w:div>
    <w:div w:id="991372907">
      <w:bodyDiv w:val="1"/>
      <w:marLeft w:val="0"/>
      <w:marRight w:val="0"/>
      <w:marTop w:val="0"/>
      <w:marBottom w:val="0"/>
      <w:divBdr>
        <w:top w:val="none" w:sz="0" w:space="0" w:color="auto"/>
        <w:left w:val="none" w:sz="0" w:space="0" w:color="auto"/>
        <w:bottom w:val="none" w:sz="0" w:space="0" w:color="auto"/>
        <w:right w:val="none" w:sz="0" w:space="0" w:color="auto"/>
      </w:divBdr>
    </w:div>
    <w:div w:id="1018123527">
      <w:bodyDiv w:val="1"/>
      <w:marLeft w:val="0"/>
      <w:marRight w:val="0"/>
      <w:marTop w:val="0"/>
      <w:marBottom w:val="0"/>
      <w:divBdr>
        <w:top w:val="none" w:sz="0" w:space="0" w:color="auto"/>
        <w:left w:val="none" w:sz="0" w:space="0" w:color="auto"/>
        <w:bottom w:val="none" w:sz="0" w:space="0" w:color="auto"/>
        <w:right w:val="none" w:sz="0" w:space="0" w:color="auto"/>
      </w:divBdr>
    </w:div>
    <w:div w:id="1020427816">
      <w:bodyDiv w:val="1"/>
      <w:marLeft w:val="0"/>
      <w:marRight w:val="0"/>
      <w:marTop w:val="0"/>
      <w:marBottom w:val="0"/>
      <w:divBdr>
        <w:top w:val="none" w:sz="0" w:space="0" w:color="auto"/>
        <w:left w:val="none" w:sz="0" w:space="0" w:color="auto"/>
        <w:bottom w:val="none" w:sz="0" w:space="0" w:color="auto"/>
        <w:right w:val="none" w:sz="0" w:space="0" w:color="auto"/>
      </w:divBdr>
    </w:div>
    <w:div w:id="1050499488">
      <w:bodyDiv w:val="1"/>
      <w:marLeft w:val="0"/>
      <w:marRight w:val="0"/>
      <w:marTop w:val="0"/>
      <w:marBottom w:val="0"/>
      <w:divBdr>
        <w:top w:val="none" w:sz="0" w:space="0" w:color="auto"/>
        <w:left w:val="none" w:sz="0" w:space="0" w:color="auto"/>
        <w:bottom w:val="none" w:sz="0" w:space="0" w:color="auto"/>
        <w:right w:val="none" w:sz="0" w:space="0" w:color="auto"/>
      </w:divBdr>
    </w:div>
    <w:div w:id="1051659339">
      <w:bodyDiv w:val="1"/>
      <w:marLeft w:val="0"/>
      <w:marRight w:val="0"/>
      <w:marTop w:val="0"/>
      <w:marBottom w:val="0"/>
      <w:divBdr>
        <w:top w:val="none" w:sz="0" w:space="0" w:color="auto"/>
        <w:left w:val="none" w:sz="0" w:space="0" w:color="auto"/>
        <w:bottom w:val="none" w:sz="0" w:space="0" w:color="auto"/>
        <w:right w:val="none" w:sz="0" w:space="0" w:color="auto"/>
      </w:divBdr>
    </w:div>
    <w:div w:id="1151216362">
      <w:bodyDiv w:val="1"/>
      <w:marLeft w:val="0"/>
      <w:marRight w:val="0"/>
      <w:marTop w:val="0"/>
      <w:marBottom w:val="0"/>
      <w:divBdr>
        <w:top w:val="none" w:sz="0" w:space="0" w:color="auto"/>
        <w:left w:val="none" w:sz="0" w:space="0" w:color="auto"/>
        <w:bottom w:val="none" w:sz="0" w:space="0" w:color="auto"/>
        <w:right w:val="none" w:sz="0" w:space="0" w:color="auto"/>
      </w:divBdr>
    </w:div>
    <w:div w:id="1152214917">
      <w:bodyDiv w:val="1"/>
      <w:marLeft w:val="0"/>
      <w:marRight w:val="0"/>
      <w:marTop w:val="0"/>
      <w:marBottom w:val="0"/>
      <w:divBdr>
        <w:top w:val="none" w:sz="0" w:space="0" w:color="auto"/>
        <w:left w:val="none" w:sz="0" w:space="0" w:color="auto"/>
        <w:bottom w:val="none" w:sz="0" w:space="0" w:color="auto"/>
        <w:right w:val="none" w:sz="0" w:space="0" w:color="auto"/>
      </w:divBdr>
    </w:div>
    <w:div w:id="1160346886">
      <w:bodyDiv w:val="1"/>
      <w:marLeft w:val="0"/>
      <w:marRight w:val="0"/>
      <w:marTop w:val="0"/>
      <w:marBottom w:val="0"/>
      <w:divBdr>
        <w:top w:val="none" w:sz="0" w:space="0" w:color="auto"/>
        <w:left w:val="none" w:sz="0" w:space="0" w:color="auto"/>
        <w:bottom w:val="none" w:sz="0" w:space="0" w:color="auto"/>
        <w:right w:val="none" w:sz="0" w:space="0" w:color="auto"/>
      </w:divBdr>
    </w:div>
    <w:div w:id="1202355256">
      <w:bodyDiv w:val="1"/>
      <w:marLeft w:val="0"/>
      <w:marRight w:val="0"/>
      <w:marTop w:val="0"/>
      <w:marBottom w:val="0"/>
      <w:divBdr>
        <w:top w:val="none" w:sz="0" w:space="0" w:color="auto"/>
        <w:left w:val="none" w:sz="0" w:space="0" w:color="auto"/>
        <w:bottom w:val="none" w:sz="0" w:space="0" w:color="auto"/>
        <w:right w:val="none" w:sz="0" w:space="0" w:color="auto"/>
      </w:divBdr>
    </w:div>
    <w:div w:id="1240020203">
      <w:bodyDiv w:val="1"/>
      <w:marLeft w:val="0"/>
      <w:marRight w:val="0"/>
      <w:marTop w:val="0"/>
      <w:marBottom w:val="0"/>
      <w:divBdr>
        <w:top w:val="none" w:sz="0" w:space="0" w:color="auto"/>
        <w:left w:val="none" w:sz="0" w:space="0" w:color="auto"/>
        <w:bottom w:val="none" w:sz="0" w:space="0" w:color="auto"/>
        <w:right w:val="none" w:sz="0" w:space="0" w:color="auto"/>
      </w:divBdr>
    </w:div>
    <w:div w:id="1244071396">
      <w:bodyDiv w:val="1"/>
      <w:marLeft w:val="0"/>
      <w:marRight w:val="0"/>
      <w:marTop w:val="0"/>
      <w:marBottom w:val="0"/>
      <w:divBdr>
        <w:top w:val="none" w:sz="0" w:space="0" w:color="auto"/>
        <w:left w:val="none" w:sz="0" w:space="0" w:color="auto"/>
        <w:bottom w:val="none" w:sz="0" w:space="0" w:color="auto"/>
        <w:right w:val="none" w:sz="0" w:space="0" w:color="auto"/>
      </w:divBdr>
      <w:divsChild>
        <w:div w:id="1106196773">
          <w:marLeft w:val="0"/>
          <w:marRight w:val="0"/>
          <w:marTop w:val="0"/>
          <w:marBottom w:val="0"/>
          <w:divBdr>
            <w:top w:val="none" w:sz="0" w:space="0" w:color="auto"/>
            <w:left w:val="none" w:sz="0" w:space="0" w:color="auto"/>
            <w:bottom w:val="none" w:sz="0" w:space="0" w:color="auto"/>
            <w:right w:val="none" w:sz="0" w:space="0" w:color="auto"/>
          </w:divBdr>
          <w:divsChild>
            <w:div w:id="1023439638">
              <w:marLeft w:val="0"/>
              <w:marRight w:val="0"/>
              <w:marTop w:val="525"/>
              <w:marBottom w:val="0"/>
              <w:divBdr>
                <w:top w:val="none" w:sz="0" w:space="0" w:color="auto"/>
                <w:left w:val="none" w:sz="0" w:space="0" w:color="auto"/>
                <w:bottom w:val="none" w:sz="0" w:space="0" w:color="auto"/>
                <w:right w:val="none" w:sz="0" w:space="0" w:color="auto"/>
              </w:divBdr>
              <w:divsChild>
                <w:div w:id="599725930">
                  <w:marLeft w:val="0"/>
                  <w:marRight w:val="0"/>
                  <w:marTop w:val="0"/>
                  <w:marBottom w:val="0"/>
                  <w:divBdr>
                    <w:top w:val="none" w:sz="0" w:space="0" w:color="auto"/>
                    <w:left w:val="none" w:sz="0" w:space="0" w:color="auto"/>
                    <w:bottom w:val="none" w:sz="0" w:space="0" w:color="auto"/>
                    <w:right w:val="none" w:sz="0" w:space="0" w:color="auto"/>
                  </w:divBdr>
                  <w:divsChild>
                    <w:div w:id="1418559334">
                      <w:marLeft w:val="0"/>
                      <w:marRight w:val="300"/>
                      <w:marTop w:val="0"/>
                      <w:marBottom w:val="0"/>
                      <w:divBdr>
                        <w:top w:val="none" w:sz="0" w:space="0" w:color="auto"/>
                        <w:left w:val="none" w:sz="0" w:space="0" w:color="auto"/>
                        <w:bottom w:val="none" w:sz="0" w:space="0" w:color="auto"/>
                        <w:right w:val="none" w:sz="0" w:space="0" w:color="auto"/>
                      </w:divBdr>
                      <w:divsChild>
                        <w:div w:id="628128368">
                          <w:marLeft w:val="0"/>
                          <w:marRight w:val="0"/>
                          <w:marTop w:val="0"/>
                          <w:marBottom w:val="0"/>
                          <w:divBdr>
                            <w:top w:val="none" w:sz="0" w:space="0" w:color="auto"/>
                            <w:left w:val="none" w:sz="0" w:space="0" w:color="auto"/>
                            <w:bottom w:val="none" w:sz="0" w:space="0" w:color="auto"/>
                            <w:right w:val="none" w:sz="0" w:space="0" w:color="auto"/>
                          </w:divBdr>
                          <w:divsChild>
                            <w:div w:id="14348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005250">
      <w:bodyDiv w:val="1"/>
      <w:marLeft w:val="0"/>
      <w:marRight w:val="0"/>
      <w:marTop w:val="0"/>
      <w:marBottom w:val="0"/>
      <w:divBdr>
        <w:top w:val="none" w:sz="0" w:space="0" w:color="auto"/>
        <w:left w:val="none" w:sz="0" w:space="0" w:color="auto"/>
        <w:bottom w:val="none" w:sz="0" w:space="0" w:color="auto"/>
        <w:right w:val="none" w:sz="0" w:space="0" w:color="auto"/>
      </w:divBdr>
    </w:div>
    <w:div w:id="1294293808">
      <w:bodyDiv w:val="1"/>
      <w:marLeft w:val="0"/>
      <w:marRight w:val="0"/>
      <w:marTop w:val="0"/>
      <w:marBottom w:val="0"/>
      <w:divBdr>
        <w:top w:val="none" w:sz="0" w:space="0" w:color="auto"/>
        <w:left w:val="none" w:sz="0" w:space="0" w:color="auto"/>
        <w:bottom w:val="none" w:sz="0" w:space="0" w:color="auto"/>
        <w:right w:val="none" w:sz="0" w:space="0" w:color="auto"/>
      </w:divBdr>
    </w:div>
    <w:div w:id="1354840200">
      <w:bodyDiv w:val="1"/>
      <w:marLeft w:val="0"/>
      <w:marRight w:val="0"/>
      <w:marTop w:val="0"/>
      <w:marBottom w:val="0"/>
      <w:divBdr>
        <w:top w:val="none" w:sz="0" w:space="0" w:color="auto"/>
        <w:left w:val="none" w:sz="0" w:space="0" w:color="auto"/>
        <w:bottom w:val="none" w:sz="0" w:space="0" w:color="auto"/>
        <w:right w:val="none" w:sz="0" w:space="0" w:color="auto"/>
      </w:divBdr>
    </w:div>
    <w:div w:id="1447500914">
      <w:bodyDiv w:val="1"/>
      <w:marLeft w:val="0"/>
      <w:marRight w:val="0"/>
      <w:marTop w:val="0"/>
      <w:marBottom w:val="0"/>
      <w:divBdr>
        <w:top w:val="none" w:sz="0" w:space="0" w:color="auto"/>
        <w:left w:val="none" w:sz="0" w:space="0" w:color="auto"/>
        <w:bottom w:val="none" w:sz="0" w:space="0" w:color="auto"/>
        <w:right w:val="none" w:sz="0" w:space="0" w:color="auto"/>
      </w:divBdr>
    </w:div>
    <w:div w:id="1457722364">
      <w:bodyDiv w:val="1"/>
      <w:marLeft w:val="0"/>
      <w:marRight w:val="0"/>
      <w:marTop w:val="0"/>
      <w:marBottom w:val="0"/>
      <w:divBdr>
        <w:top w:val="none" w:sz="0" w:space="0" w:color="auto"/>
        <w:left w:val="none" w:sz="0" w:space="0" w:color="auto"/>
        <w:bottom w:val="none" w:sz="0" w:space="0" w:color="auto"/>
        <w:right w:val="none" w:sz="0" w:space="0" w:color="auto"/>
      </w:divBdr>
    </w:div>
    <w:div w:id="1524515264">
      <w:bodyDiv w:val="1"/>
      <w:marLeft w:val="0"/>
      <w:marRight w:val="0"/>
      <w:marTop w:val="0"/>
      <w:marBottom w:val="0"/>
      <w:divBdr>
        <w:top w:val="none" w:sz="0" w:space="0" w:color="auto"/>
        <w:left w:val="none" w:sz="0" w:space="0" w:color="auto"/>
        <w:bottom w:val="none" w:sz="0" w:space="0" w:color="auto"/>
        <w:right w:val="none" w:sz="0" w:space="0" w:color="auto"/>
      </w:divBdr>
    </w:div>
    <w:div w:id="1546942413">
      <w:bodyDiv w:val="1"/>
      <w:marLeft w:val="0"/>
      <w:marRight w:val="0"/>
      <w:marTop w:val="0"/>
      <w:marBottom w:val="0"/>
      <w:divBdr>
        <w:top w:val="none" w:sz="0" w:space="0" w:color="auto"/>
        <w:left w:val="none" w:sz="0" w:space="0" w:color="auto"/>
        <w:bottom w:val="none" w:sz="0" w:space="0" w:color="auto"/>
        <w:right w:val="none" w:sz="0" w:space="0" w:color="auto"/>
      </w:divBdr>
    </w:div>
    <w:div w:id="1646198930">
      <w:bodyDiv w:val="1"/>
      <w:marLeft w:val="0"/>
      <w:marRight w:val="0"/>
      <w:marTop w:val="0"/>
      <w:marBottom w:val="0"/>
      <w:divBdr>
        <w:top w:val="none" w:sz="0" w:space="0" w:color="auto"/>
        <w:left w:val="none" w:sz="0" w:space="0" w:color="auto"/>
        <w:bottom w:val="none" w:sz="0" w:space="0" w:color="auto"/>
        <w:right w:val="none" w:sz="0" w:space="0" w:color="auto"/>
      </w:divBdr>
    </w:div>
    <w:div w:id="1660040830">
      <w:bodyDiv w:val="1"/>
      <w:marLeft w:val="0"/>
      <w:marRight w:val="0"/>
      <w:marTop w:val="0"/>
      <w:marBottom w:val="0"/>
      <w:divBdr>
        <w:top w:val="none" w:sz="0" w:space="0" w:color="auto"/>
        <w:left w:val="none" w:sz="0" w:space="0" w:color="auto"/>
        <w:bottom w:val="none" w:sz="0" w:space="0" w:color="auto"/>
        <w:right w:val="none" w:sz="0" w:space="0" w:color="auto"/>
      </w:divBdr>
    </w:div>
    <w:div w:id="1721400921">
      <w:bodyDiv w:val="1"/>
      <w:marLeft w:val="0"/>
      <w:marRight w:val="0"/>
      <w:marTop w:val="0"/>
      <w:marBottom w:val="0"/>
      <w:divBdr>
        <w:top w:val="none" w:sz="0" w:space="0" w:color="auto"/>
        <w:left w:val="none" w:sz="0" w:space="0" w:color="auto"/>
        <w:bottom w:val="none" w:sz="0" w:space="0" w:color="auto"/>
        <w:right w:val="none" w:sz="0" w:space="0" w:color="auto"/>
      </w:divBdr>
    </w:div>
    <w:div w:id="1808086241">
      <w:bodyDiv w:val="1"/>
      <w:marLeft w:val="0"/>
      <w:marRight w:val="0"/>
      <w:marTop w:val="0"/>
      <w:marBottom w:val="0"/>
      <w:divBdr>
        <w:top w:val="none" w:sz="0" w:space="0" w:color="auto"/>
        <w:left w:val="none" w:sz="0" w:space="0" w:color="auto"/>
        <w:bottom w:val="none" w:sz="0" w:space="0" w:color="auto"/>
        <w:right w:val="none" w:sz="0" w:space="0" w:color="auto"/>
      </w:divBdr>
    </w:div>
    <w:div w:id="1812477576">
      <w:bodyDiv w:val="1"/>
      <w:marLeft w:val="0"/>
      <w:marRight w:val="0"/>
      <w:marTop w:val="0"/>
      <w:marBottom w:val="0"/>
      <w:divBdr>
        <w:top w:val="none" w:sz="0" w:space="0" w:color="auto"/>
        <w:left w:val="none" w:sz="0" w:space="0" w:color="auto"/>
        <w:bottom w:val="none" w:sz="0" w:space="0" w:color="auto"/>
        <w:right w:val="none" w:sz="0" w:space="0" w:color="auto"/>
      </w:divBdr>
    </w:div>
    <w:div w:id="1835992397">
      <w:bodyDiv w:val="1"/>
      <w:marLeft w:val="0"/>
      <w:marRight w:val="0"/>
      <w:marTop w:val="0"/>
      <w:marBottom w:val="0"/>
      <w:divBdr>
        <w:top w:val="none" w:sz="0" w:space="0" w:color="auto"/>
        <w:left w:val="none" w:sz="0" w:space="0" w:color="auto"/>
        <w:bottom w:val="none" w:sz="0" w:space="0" w:color="auto"/>
        <w:right w:val="none" w:sz="0" w:space="0" w:color="auto"/>
      </w:divBdr>
    </w:div>
    <w:div w:id="1859614798">
      <w:bodyDiv w:val="1"/>
      <w:marLeft w:val="0"/>
      <w:marRight w:val="0"/>
      <w:marTop w:val="0"/>
      <w:marBottom w:val="0"/>
      <w:divBdr>
        <w:top w:val="none" w:sz="0" w:space="0" w:color="auto"/>
        <w:left w:val="none" w:sz="0" w:space="0" w:color="auto"/>
        <w:bottom w:val="none" w:sz="0" w:space="0" w:color="auto"/>
        <w:right w:val="none" w:sz="0" w:space="0" w:color="auto"/>
      </w:divBdr>
    </w:div>
    <w:div w:id="1945529546">
      <w:bodyDiv w:val="1"/>
      <w:marLeft w:val="0"/>
      <w:marRight w:val="0"/>
      <w:marTop w:val="0"/>
      <w:marBottom w:val="0"/>
      <w:divBdr>
        <w:top w:val="none" w:sz="0" w:space="0" w:color="auto"/>
        <w:left w:val="none" w:sz="0" w:space="0" w:color="auto"/>
        <w:bottom w:val="none" w:sz="0" w:space="0" w:color="auto"/>
        <w:right w:val="none" w:sz="0" w:space="0" w:color="auto"/>
      </w:divBdr>
    </w:div>
    <w:div w:id="1959213990">
      <w:bodyDiv w:val="1"/>
      <w:marLeft w:val="0"/>
      <w:marRight w:val="0"/>
      <w:marTop w:val="0"/>
      <w:marBottom w:val="0"/>
      <w:divBdr>
        <w:top w:val="none" w:sz="0" w:space="0" w:color="auto"/>
        <w:left w:val="none" w:sz="0" w:space="0" w:color="auto"/>
        <w:bottom w:val="none" w:sz="0" w:space="0" w:color="auto"/>
        <w:right w:val="none" w:sz="0" w:space="0" w:color="auto"/>
      </w:divBdr>
    </w:div>
    <w:div w:id="1972246068">
      <w:bodyDiv w:val="1"/>
      <w:marLeft w:val="0"/>
      <w:marRight w:val="0"/>
      <w:marTop w:val="0"/>
      <w:marBottom w:val="0"/>
      <w:divBdr>
        <w:top w:val="none" w:sz="0" w:space="0" w:color="auto"/>
        <w:left w:val="none" w:sz="0" w:space="0" w:color="auto"/>
        <w:bottom w:val="none" w:sz="0" w:space="0" w:color="auto"/>
        <w:right w:val="none" w:sz="0" w:space="0" w:color="auto"/>
      </w:divBdr>
    </w:div>
    <w:div w:id="2053311919">
      <w:bodyDiv w:val="1"/>
      <w:marLeft w:val="0"/>
      <w:marRight w:val="0"/>
      <w:marTop w:val="0"/>
      <w:marBottom w:val="0"/>
      <w:divBdr>
        <w:top w:val="none" w:sz="0" w:space="0" w:color="auto"/>
        <w:left w:val="none" w:sz="0" w:space="0" w:color="auto"/>
        <w:bottom w:val="none" w:sz="0" w:space="0" w:color="auto"/>
        <w:right w:val="none" w:sz="0" w:space="0" w:color="auto"/>
      </w:divBdr>
    </w:div>
    <w:div w:id="2059427768">
      <w:bodyDiv w:val="1"/>
      <w:marLeft w:val="0"/>
      <w:marRight w:val="0"/>
      <w:marTop w:val="0"/>
      <w:marBottom w:val="0"/>
      <w:divBdr>
        <w:top w:val="none" w:sz="0" w:space="0" w:color="auto"/>
        <w:left w:val="none" w:sz="0" w:space="0" w:color="auto"/>
        <w:bottom w:val="none" w:sz="0" w:space="0" w:color="auto"/>
        <w:right w:val="none" w:sz="0" w:space="0" w:color="auto"/>
      </w:divBdr>
    </w:div>
    <w:div w:id="2060005894">
      <w:bodyDiv w:val="1"/>
      <w:marLeft w:val="0"/>
      <w:marRight w:val="0"/>
      <w:marTop w:val="0"/>
      <w:marBottom w:val="0"/>
      <w:divBdr>
        <w:top w:val="none" w:sz="0" w:space="0" w:color="auto"/>
        <w:left w:val="none" w:sz="0" w:space="0" w:color="auto"/>
        <w:bottom w:val="none" w:sz="0" w:space="0" w:color="auto"/>
        <w:right w:val="none" w:sz="0" w:space="0" w:color="auto"/>
      </w:divBdr>
    </w:div>
    <w:div w:id="20838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assembly.coe.int/nwbs/verbatim/?sessionid=202001&amp;day=2020-01-28&amp;afternoon=False&amp;lang=EN&amp;contentlang=EN" TargetMode="External"/><Relationship Id="rId2" Type="http://schemas.openxmlformats.org/officeDocument/2006/relationships/hyperlink" Target="https://www.osce.org/chairmanship/441940" TargetMode="External"/><Relationship Id="rId1" Type="http://schemas.openxmlformats.org/officeDocument/2006/relationships/hyperlink" Target="https://www.osce.org/chairmanship/435188" TargetMode="External"/><Relationship Id="rId6" Type="http://schemas.openxmlformats.org/officeDocument/2006/relationships/hyperlink" Target="https://www.osce.org/chairmanship/438179" TargetMode="External"/><Relationship Id="rId5" Type="http://schemas.openxmlformats.org/officeDocument/2006/relationships/hyperlink" Target="https://www.osce.org/what/conflict-prevention/430031" TargetMode="External"/><Relationship Id="rId4" Type="http://schemas.openxmlformats.org/officeDocument/2006/relationships/hyperlink" Target="https://smr.gov.ge/en/news/read/171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16F70-EC4D-4EDB-A3A2-575CD441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5377</Words>
  <Characters>29578</Characters>
  <Application>Microsoft Office Word</Application>
  <DocSecurity>0</DocSecurity>
  <Lines>246</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34886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LONGANGUE Maxime</dc:creator>
  <cp:lastModifiedBy>CAFFREY Karen</cp:lastModifiedBy>
  <cp:revision>2</cp:revision>
  <cp:lastPrinted>2020-02-24T15:45:00Z</cp:lastPrinted>
  <dcterms:created xsi:type="dcterms:W3CDTF">2020-03-17T17:05:00Z</dcterms:created>
  <dcterms:modified xsi:type="dcterms:W3CDTF">2020-03-17T17:05:00Z</dcterms:modified>
</cp:coreProperties>
</file>